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rPr>
          <w:rFonts w:ascii="宋体" w:hAnsi="宋体"/>
          <w:b/>
          <w:bCs/>
          <w:sz w:val="44"/>
          <w:szCs w:val="44"/>
        </w:rPr>
      </w:pPr>
    </w:p>
    <w:p>
      <w:pPr>
        <w:adjustRightInd w:val="0"/>
        <w:snapToGrid w:val="0"/>
        <w:ind w:firstLine="885"/>
        <w:jc w:val="center"/>
        <w:rPr>
          <w:rFonts w:ascii="宋体" w:hAnsi="宋体"/>
          <w:b/>
          <w:bCs/>
          <w:sz w:val="44"/>
          <w:szCs w:val="44"/>
        </w:rPr>
      </w:pPr>
    </w:p>
    <w:p>
      <w:pPr>
        <w:adjustRightInd w:val="0"/>
        <w:snapToGrid w:val="0"/>
        <w:ind w:firstLine="1046"/>
        <w:jc w:val="center"/>
        <w:rPr>
          <w:b/>
          <w:snapToGrid w:val="0"/>
          <w:spacing w:val="-20"/>
          <w:kern w:val="15"/>
          <w:sz w:val="36"/>
          <w:szCs w:val="36"/>
          <w:u w:val="thick"/>
        </w:rPr>
      </w:pPr>
      <w:r>
        <w:rPr>
          <w:rFonts w:hint="eastAsia" w:ascii="宋体" w:hAnsi="宋体"/>
          <w:b/>
          <w:bCs/>
          <w:sz w:val="52"/>
          <w:szCs w:val="5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219710</wp:posOffset>
                </wp:positionV>
                <wp:extent cx="5694680" cy="0"/>
                <wp:effectExtent l="21590" t="29210" r="36830" b="34290"/>
                <wp:wrapNone/>
                <wp:docPr id="3" name="直线 2"/>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line">
                          <a:avLst/>
                        </a:prstGeom>
                        <a:noFill/>
                        <a:ln w="25400">
                          <a:solidFill>
                            <a:srgbClr val="000000"/>
                          </a:solidFill>
                          <a:round/>
                        </a:ln>
                      </wps:spPr>
                      <wps:bodyPr/>
                    </wps:wsp>
                  </a:graphicData>
                </a:graphic>
              </wp:anchor>
            </w:drawing>
          </mc:Choice>
          <mc:Fallback>
            <w:pict>
              <v:line id="直线 2" o:spid="_x0000_s1026" o:spt="20" style="position:absolute;left:0pt;margin-left:5.7pt;margin-top:17.3pt;height:0pt;width:448.4pt;z-index:251659264;mso-width-relative:page;mso-height-relative:page;" filled="f" stroked="t" coordsize="21600,21600" o:gfxdata="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tz9KLWAAAACAEAAA8AAAAAAAAAAQAg&#10;AAAAIgAAAGRycy9kb3ducmV2LnhtbFBLAQIUABQAAAAIAIdO4kAR5nGF1wEAAKIDAAAOAAAAAAAA&#10;AAEAIAAAACUBAABkcnMvZTJvRG9jLnhtbFBLBQYAAAAABgAGAFkBAABuBQAAAAA=&#10;">
                <v:fill on="f" focussize="0,0"/>
                <v:stroke weight="2pt" color="#000000" joinstyle="round"/>
                <v:imagedata o:title=""/>
                <o:lock v:ext="edit" aspectratio="f"/>
              </v:line>
            </w:pict>
          </mc:Fallback>
        </mc:AlternateContent>
      </w:r>
    </w:p>
    <w:p>
      <w:pPr>
        <w:ind w:firstLine="0" w:firstLineChars="0"/>
        <w:jc w:val="center"/>
        <w:rPr>
          <w:rFonts w:ascii="宋体" w:hAnsi="宋体"/>
          <w:b/>
          <w:bCs/>
          <w:sz w:val="52"/>
          <w:szCs w:val="52"/>
        </w:rPr>
      </w:pPr>
    </w:p>
    <w:p>
      <w:pPr>
        <w:adjustRightInd w:val="0"/>
        <w:snapToGrid w:val="0"/>
        <w:ind w:firstLine="0" w:firstLineChars="0"/>
        <w:jc w:val="center"/>
        <w:rPr>
          <w:rFonts w:ascii="方正小标宋简体" w:hAnsi="宋体" w:eastAsia="方正小标宋简体"/>
          <w:kern w:val="6"/>
          <w:sz w:val="48"/>
          <w:szCs w:val="48"/>
        </w:rPr>
      </w:pPr>
      <w:r>
        <w:rPr>
          <w:rFonts w:ascii="方正小标宋简体" w:hAnsi="宋体" w:eastAsia="方正小标宋简体"/>
          <w:kern w:val="6"/>
          <w:sz w:val="48"/>
          <w:szCs w:val="48"/>
        </w:rPr>
        <w:t>2021</w:t>
      </w:r>
      <w:r>
        <w:rPr>
          <w:rFonts w:hint="eastAsia" w:ascii="方正小标宋简体" w:hAnsi="宋体" w:eastAsia="方正小标宋简体"/>
          <w:kern w:val="6"/>
          <w:sz w:val="48"/>
          <w:szCs w:val="48"/>
        </w:rPr>
        <w:t>级生物制药技术三二</w:t>
      </w:r>
      <w:r>
        <w:rPr>
          <w:rFonts w:ascii="方正小标宋简体" w:hAnsi="宋体" w:eastAsia="方正小标宋简体"/>
          <w:kern w:val="6"/>
          <w:sz w:val="48"/>
          <w:szCs w:val="48"/>
        </w:rPr>
        <w:t>分段</w:t>
      </w:r>
    </w:p>
    <w:p>
      <w:pPr>
        <w:adjustRightInd w:val="0"/>
        <w:snapToGrid w:val="0"/>
        <w:ind w:firstLine="0" w:firstLineChars="0"/>
        <w:jc w:val="center"/>
        <w:rPr>
          <w:rFonts w:ascii="方正小标宋简体" w:hAnsi="宋体" w:eastAsia="方正小标宋简体"/>
          <w:kern w:val="6"/>
          <w:sz w:val="48"/>
          <w:szCs w:val="48"/>
        </w:rPr>
      </w:pPr>
      <w:r>
        <w:rPr>
          <w:rFonts w:hint="eastAsia" w:ascii="方正小标宋简体" w:hAnsi="宋体" w:eastAsia="方正小标宋简体"/>
          <w:kern w:val="6"/>
          <w:sz w:val="48"/>
          <w:szCs w:val="48"/>
        </w:rPr>
        <w:t>专业人才培养方案</w:t>
      </w:r>
    </w:p>
    <w:p>
      <w:pPr>
        <w:adjustRightInd w:val="0"/>
        <w:snapToGrid w:val="0"/>
        <w:ind w:firstLine="0" w:firstLineChars="0"/>
        <w:jc w:val="center"/>
        <w:rPr>
          <w:bCs/>
          <w:sz w:val="44"/>
          <w:szCs w:val="44"/>
        </w:rPr>
      </w:pPr>
      <w:r>
        <w:rPr>
          <w:rFonts w:hint="eastAsia"/>
          <w:bCs/>
          <w:sz w:val="44"/>
          <w:szCs w:val="44"/>
        </w:rPr>
        <w:t>（专业代码</w:t>
      </w:r>
      <w:r>
        <w:rPr>
          <w:bCs/>
          <w:sz w:val="44"/>
          <w:szCs w:val="44"/>
        </w:rPr>
        <w:t>4</w:t>
      </w:r>
      <w:r>
        <w:rPr>
          <w:rFonts w:hint="eastAsia"/>
          <w:bCs/>
          <w:sz w:val="44"/>
          <w:szCs w:val="44"/>
        </w:rPr>
        <w:t>9020</w:t>
      </w:r>
      <w:r>
        <w:rPr>
          <w:bCs/>
          <w:sz w:val="44"/>
          <w:szCs w:val="44"/>
        </w:rPr>
        <w:t>2</w:t>
      </w:r>
      <w:r>
        <w:rPr>
          <w:rFonts w:hint="eastAsia"/>
          <w:bCs/>
          <w:sz w:val="44"/>
          <w:szCs w:val="44"/>
        </w:rPr>
        <w:t>）</w:t>
      </w:r>
    </w:p>
    <w:p>
      <w:pPr>
        <w:ind w:firstLine="0" w:firstLineChars="0"/>
        <w:jc w:val="center"/>
        <w:rPr>
          <w:b/>
          <w:bCs/>
          <w:sz w:val="44"/>
          <w:szCs w:val="44"/>
        </w:rPr>
      </w:pPr>
    </w:p>
    <w:p>
      <w:pPr>
        <w:ind w:firstLine="0" w:firstLineChars="0"/>
        <w:jc w:val="center"/>
        <w:rPr>
          <w:b/>
          <w:bCs/>
          <w:sz w:val="44"/>
          <w:szCs w:val="44"/>
        </w:rPr>
      </w:pPr>
    </w:p>
    <w:p>
      <w:pPr>
        <w:ind w:firstLine="0" w:firstLineChars="0"/>
        <w:jc w:val="center"/>
        <w:rPr>
          <w:rFonts w:ascii="Verdana" w:hAnsi="Verdana"/>
          <w:color w:val="333333"/>
          <w:sz w:val="28"/>
          <w:szCs w:val="28"/>
        </w:rPr>
      </w:pPr>
    </w:p>
    <w:p>
      <w:pPr>
        <w:ind w:firstLine="0" w:firstLineChars="0"/>
        <w:jc w:val="center"/>
        <w:rPr>
          <w:rFonts w:ascii="Verdana" w:hAnsi="Verdana"/>
          <w:color w:val="333333"/>
          <w:sz w:val="28"/>
          <w:szCs w:val="28"/>
        </w:rPr>
      </w:pPr>
    </w:p>
    <w:p>
      <w:pPr>
        <w:ind w:firstLine="0" w:firstLineChars="0"/>
        <w:jc w:val="center"/>
        <w:rPr>
          <w:rFonts w:ascii="Verdana" w:hAnsi="Verdana"/>
          <w:color w:val="333333"/>
          <w:sz w:val="28"/>
          <w:szCs w:val="28"/>
        </w:rPr>
      </w:pPr>
    </w:p>
    <w:p>
      <w:pPr>
        <w:ind w:firstLine="0" w:firstLineChars="0"/>
        <w:jc w:val="center"/>
        <w:rPr>
          <w:rFonts w:ascii="Verdana" w:hAnsi="Verdana"/>
          <w:color w:val="333333"/>
          <w:sz w:val="28"/>
          <w:szCs w:val="28"/>
        </w:rPr>
      </w:pPr>
    </w:p>
    <w:p>
      <w:pPr>
        <w:ind w:firstLine="0" w:firstLineChars="0"/>
        <w:jc w:val="center"/>
        <w:rPr>
          <w:b/>
          <w:bCs/>
          <w:sz w:val="48"/>
        </w:rPr>
      </w:pPr>
    </w:p>
    <w:p>
      <w:pPr>
        <w:ind w:firstLine="0" w:firstLineChars="0"/>
        <w:jc w:val="center"/>
        <w:rPr>
          <w:b/>
          <w:bCs/>
          <w:sz w:val="48"/>
        </w:rPr>
      </w:pPr>
    </w:p>
    <w:p>
      <w:pPr>
        <w:ind w:firstLine="0" w:firstLineChars="0"/>
        <w:jc w:val="center"/>
        <w:rPr>
          <w:b/>
          <w:bCs/>
          <w:sz w:val="48"/>
        </w:rPr>
      </w:pPr>
    </w:p>
    <w:p>
      <w:pPr>
        <w:adjustRightInd w:val="0"/>
        <w:snapToGrid w:val="0"/>
        <w:ind w:firstLine="0" w:firstLineChars="0"/>
        <w:jc w:val="center"/>
        <w:rPr>
          <w:rFonts w:ascii="宋体" w:hAnsi="宋体"/>
          <w:snapToGrid w:val="0"/>
          <w:spacing w:val="-20"/>
          <w:kern w:val="15"/>
          <w:sz w:val="28"/>
          <w:szCs w:val="28"/>
        </w:rPr>
      </w:pPr>
      <w:r>
        <w:rPr>
          <w:rFonts w:hint="eastAsia"/>
          <w:spacing w:val="-20"/>
          <w:kern w:val="15"/>
          <w:sz w:val="36"/>
          <w:szCs w:val="36"/>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464820</wp:posOffset>
                </wp:positionV>
                <wp:extent cx="5467985" cy="0"/>
                <wp:effectExtent l="21590" t="20320" r="34925" b="4318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line">
                          <a:avLst/>
                        </a:prstGeom>
                        <a:noFill/>
                        <a:ln w="25400">
                          <a:solidFill>
                            <a:srgbClr val="000000"/>
                          </a:solidFill>
                          <a:round/>
                        </a:ln>
                      </wps:spPr>
                      <wps:bodyPr/>
                    </wps:wsp>
                  </a:graphicData>
                </a:graphic>
              </wp:anchor>
            </w:drawing>
          </mc:Choice>
          <mc:Fallback>
            <w:pict>
              <v:line id="直线 3" o:spid="_x0000_s1026" o:spt="20" style="position:absolute;left:0pt;margin-left:17.7pt;margin-top:36.6pt;height:0pt;width:430.55pt;z-index:251660288;mso-width-relative:page;mso-height-relative:page;" filled="f" stroked="t" coordsize="21600,21600" o:gfxdata="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p09bY1wAAAAgBAAAPAAAAAAAAAAEA&#10;IAAAACIAAABkcnMvZG93bnJldi54bWxQSwECFAAUAAAACACHTuJAq+DqLNcBAACiAwAADgAAAAAA&#10;AAABACAAAAAmAQAAZHJzL2Uyb0RvYy54bWxQSwUGAAAAAAYABgBZAQAAbwUAAAAA&#10;">
                <v:fill on="f" focussize="0,0"/>
                <v:stroke weight="2pt" color="#000000" joinstyle="round"/>
                <v:imagedata o:title=""/>
                <o:lock v:ext="edit" aspectratio="f"/>
              </v:line>
            </w:pict>
          </mc:Fallback>
        </mc:AlternateContent>
      </w:r>
      <w:r>
        <w:rPr>
          <w:rFonts w:hint="eastAsia"/>
          <w:color w:val="000000"/>
          <w:sz w:val="30"/>
          <w:szCs w:val="30"/>
        </w:rPr>
        <w:t xml:space="preserve"> </w:t>
      </w:r>
      <w:r>
        <w:rPr>
          <w:rFonts w:hint="eastAsia" w:ascii="宋体" w:hAnsi="宋体"/>
          <w:color w:val="000000"/>
          <w:sz w:val="28"/>
          <w:szCs w:val="28"/>
        </w:rPr>
        <w:t xml:space="preserve"> </w:t>
      </w:r>
      <w:r>
        <w:rPr>
          <w:rFonts w:ascii="方正小标宋简体" w:hAnsi="楷体" w:eastAsia="方正小标宋简体"/>
          <w:sz w:val="36"/>
          <w:szCs w:val="36"/>
        </w:rPr>
        <w:t>2021-</w:t>
      </w:r>
      <w:r>
        <w:rPr>
          <w:rFonts w:hint="eastAsia" w:ascii="方正小标宋简体" w:hAnsi="楷体" w:eastAsia="方正小标宋简体"/>
          <w:sz w:val="36"/>
          <w:szCs w:val="36"/>
        </w:rPr>
        <w:t>0</w:t>
      </w:r>
      <w:r>
        <w:rPr>
          <w:rFonts w:ascii="方正小标宋简体" w:hAnsi="楷体" w:eastAsia="方正小标宋简体"/>
          <w:sz w:val="36"/>
          <w:szCs w:val="36"/>
        </w:rPr>
        <w:t>9-</w:t>
      </w:r>
      <w:r>
        <w:rPr>
          <w:rFonts w:hint="eastAsia" w:ascii="方正小标宋简体" w:hAnsi="楷体" w:eastAsia="方正小标宋简体"/>
          <w:sz w:val="36"/>
          <w:szCs w:val="36"/>
        </w:rPr>
        <w:t>01实施</w:t>
      </w:r>
      <w:r>
        <w:rPr>
          <w:rFonts w:hint="eastAsia" w:ascii="宋体" w:hAnsi="宋体"/>
          <w:color w:val="000000"/>
          <w:sz w:val="28"/>
          <w:szCs w:val="28"/>
        </w:rPr>
        <w:t xml:space="preserve">    </w:t>
      </w:r>
    </w:p>
    <w:p>
      <w:pPr>
        <w:ind w:firstLine="0" w:firstLineChars="0"/>
        <w:jc w:val="center"/>
        <w:rPr>
          <w:b/>
          <w:snapToGrid w:val="0"/>
          <w:spacing w:val="-20"/>
          <w:kern w:val="15"/>
          <w:sz w:val="36"/>
          <w:szCs w:val="36"/>
        </w:rPr>
      </w:pPr>
      <w:r>
        <w:rPr>
          <w:rFonts w:hint="eastAsia"/>
          <w:b/>
          <w:snapToGrid w:val="0"/>
          <w:spacing w:val="-20"/>
          <w:kern w:val="15"/>
          <w:sz w:val="36"/>
          <w:szCs w:val="36"/>
        </w:rPr>
        <w:t>教务处</w:t>
      </w:r>
    </w:p>
    <w:p>
      <w:pPr>
        <w:pStyle w:val="2"/>
        <w:ind w:firstLine="564"/>
        <w:jc w:val="center"/>
      </w:pPr>
      <w:r>
        <w:rPr>
          <w:lang w:val="zh-CN"/>
        </w:rPr>
        <w:t>目</w:t>
      </w:r>
      <w:r>
        <w:rPr>
          <w:rFonts w:hint="eastAsia"/>
          <w:lang w:val="zh-CN"/>
        </w:rPr>
        <w:t xml:space="preserve">  </w:t>
      </w:r>
      <w:r>
        <w:rPr>
          <w:lang w:val="zh-CN"/>
        </w:rPr>
        <w:t>录</w:t>
      </w:r>
    </w:p>
    <w:p>
      <w:pPr>
        <w:pStyle w:val="21"/>
        <w:tabs>
          <w:tab w:val="right" w:leader="dot" w:pos="9061"/>
        </w:tabs>
        <w:ind w:firstLine="482"/>
        <w:rPr>
          <w:rFonts w:asciiTheme="minorEastAsia" w:hAnsiTheme="minorEastAsia" w:eastAsiaTheme="minorEastAsia" w:cstheme="minorBidi"/>
          <w:b w:val="0"/>
          <w:bCs w:val="0"/>
          <w:caps w:val="0"/>
          <w:sz w:val="24"/>
          <w:szCs w:val="24"/>
        </w:rPr>
      </w:pPr>
      <w:r>
        <w:rPr>
          <w:rFonts w:cs="Times New Roman" w:asciiTheme="minorEastAsia" w:hAnsiTheme="minorEastAsia" w:eastAsiaTheme="minorEastAsia"/>
          <w:b w:val="0"/>
          <w:bCs w:val="0"/>
          <w:caps w:val="0"/>
          <w:sz w:val="24"/>
          <w:szCs w:val="24"/>
        </w:rPr>
        <w:fldChar w:fldCharType="begin"/>
      </w:r>
      <w:r>
        <w:rPr>
          <w:rFonts w:cs="Times New Roman" w:asciiTheme="minorEastAsia" w:hAnsiTheme="minorEastAsia" w:eastAsiaTheme="minorEastAsia"/>
          <w:b w:val="0"/>
          <w:bCs w:val="0"/>
          <w:caps w:val="0"/>
          <w:sz w:val="24"/>
          <w:szCs w:val="24"/>
        </w:rPr>
        <w:instrText xml:space="preserve"> TOC \o "1-3" \h \z \u </w:instrText>
      </w:r>
      <w:r>
        <w:rPr>
          <w:rFonts w:cs="Times New Roman" w:asciiTheme="minorEastAsia" w:hAnsiTheme="minorEastAsia" w:eastAsiaTheme="minorEastAsia"/>
          <w:b w:val="0"/>
          <w:bCs w:val="0"/>
          <w:caps w:val="0"/>
          <w:sz w:val="24"/>
          <w:szCs w:val="24"/>
        </w:rPr>
        <w:fldChar w:fldCharType="separate"/>
      </w:r>
      <w:r>
        <w:fldChar w:fldCharType="begin"/>
      </w:r>
      <w:r>
        <w:instrText xml:space="preserve"> HYPERLINK \l "_Toc90896262" </w:instrText>
      </w:r>
      <w:r>
        <w:fldChar w:fldCharType="separate"/>
      </w:r>
      <w:r>
        <w:rPr>
          <w:rStyle w:val="44"/>
          <w:rFonts w:asciiTheme="minorEastAsia" w:hAnsiTheme="minorEastAsia" w:eastAsiaTheme="minorEastAsia"/>
          <w:sz w:val="24"/>
          <w:szCs w:val="24"/>
        </w:rPr>
        <w:t>一、专业名称及代码</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"_Toc90896263" </w:instrText>
      </w:r>
      <w:r>
        <w:fldChar w:fldCharType="separate"/>
      </w:r>
      <w:r>
        <w:rPr>
          <w:rStyle w:val="44"/>
          <w:rFonts w:asciiTheme="minorEastAsia" w:hAnsiTheme="minorEastAsia" w:eastAsiaTheme="minorEastAsia"/>
          <w:sz w:val="24"/>
          <w:szCs w:val="24"/>
        </w:rPr>
        <w:t>二、入学要求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"_Toc90896264" </w:instrText>
      </w:r>
      <w:r>
        <w:fldChar w:fldCharType="separate"/>
      </w:r>
      <w:r>
        <w:rPr>
          <w:rStyle w:val="44"/>
          <w:rFonts w:asciiTheme="minorEastAsia" w:hAnsiTheme="minorEastAsia" w:eastAsiaTheme="minorEastAsia"/>
          <w:sz w:val="24"/>
          <w:szCs w:val="24"/>
        </w:rPr>
        <w:t>三、修业年限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"_Toc90896265" </w:instrText>
      </w:r>
      <w:r>
        <w:fldChar w:fldCharType="separate"/>
      </w:r>
      <w:r>
        <w:rPr>
          <w:rStyle w:val="44"/>
          <w:rFonts w:asciiTheme="minorEastAsia" w:hAnsiTheme="minorEastAsia" w:eastAsiaTheme="minorEastAsia"/>
          <w:sz w:val="24"/>
          <w:szCs w:val="24"/>
        </w:rPr>
        <w:t>四、职业面向</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"_Toc90896266" </w:instrText>
      </w:r>
      <w:r>
        <w:fldChar w:fldCharType="separate"/>
      </w:r>
      <w:r>
        <w:rPr>
          <w:rStyle w:val="44"/>
          <w:rFonts w:asciiTheme="minorEastAsia" w:hAnsiTheme="minorEastAsia" w:eastAsiaTheme="minorEastAsia"/>
          <w:sz w:val="24"/>
          <w:szCs w:val="24"/>
        </w:rPr>
        <w:t>（一）就业职业领域</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"_Toc90896267" </w:instrText>
      </w:r>
      <w:r>
        <w:fldChar w:fldCharType="separate"/>
      </w:r>
      <w:r>
        <w:rPr>
          <w:rStyle w:val="44"/>
          <w:rFonts w:asciiTheme="minorEastAsia" w:hAnsiTheme="minorEastAsia" w:eastAsiaTheme="minorEastAsia"/>
          <w:sz w:val="24"/>
          <w:szCs w:val="24"/>
        </w:rPr>
        <w:t>（二）初始就业岗位群</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"_Toc90896268" </w:instrText>
      </w:r>
      <w:r>
        <w:fldChar w:fldCharType="separate"/>
      </w:r>
      <w:r>
        <w:rPr>
          <w:rStyle w:val="44"/>
          <w:rFonts w:asciiTheme="minorEastAsia" w:hAnsiTheme="minorEastAsia" w:eastAsiaTheme="minorEastAsia"/>
          <w:sz w:val="24"/>
          <w:szCs w:val="24"/>
        </w:rPr>
        <w:t>（三）发展岗位群</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"_Toc90896269" </w:instrText>
      </w:r>
      <w:r>
        <w:fldChar w:fldCharType="separate"/>
      </w:r>
      <w:r>
        <w:rPr>
          <w:rStyle w:val="44"/>
          <w:rFonts w:asciiTheme="minorEastAsia" w:hAnsiTheme="minorEastAsia" w:eastAsiaTheme="minorEastAsia"/>
          <w:sz w:val="24"/>
          <w:szCs w:val="24"/>
        </w:rPr>
        <w:t>五、培养目标与培养规格</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_Toc90896269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"_Toc90896270" </w:instrText>
      </w:r>
      <w:r>
        <w:fldChar w:fldCharType="separate"/>
      </w:r>
      <w:r>
        <w:rPr>
          <w:rStyle w:val="44"/>
          <w:rFonts w:asciiTheme="minorEastAsia" w:hAnsiTheme="minorEastAsia" w:eastAsiaTheme="minorEastAsia"/>
          <w:sz w:val="24"/>
          <w:szCs w:val="24"/>
        </w:rPr>
        <w:t>（一）培养目标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_Toc90896270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"_Toc90896271" </w:instrText>
      </w:r>
      <w:r>
        <w:fldChar w:fldCharType="separate"/>
      </w:r>
      <w:r>
        <w:rPr>
          <w:rStyle w:val="44"/>
          <w:rFonts w:asciiTheme="minorEastAsia" w:hAnsiTheme="minorEastAsia" w:eastAsiaTheme="minorEastAsia"/>
          <w:sz w:val="24"/>
          <w:szCs w:val="24"/>
        </w:rPr>
        <w:t>（二）培养规格</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_Toc90896271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"_Toc90896272" </w:instrText>
      </w:r>
      <w:r>
        <w:fldChar w:fldCharType="separate"/>
      </w:r>
      <w:r>
        <w:rPr>
          <w:rStyle w:val="44"/>
          <w:rFonts w:asciiTheme="minorEastAsia" w:hAnsiTheme="minorEastAsia" w:eastAsiaTheme="minorEastAsia"/>
          <w:sz w:val="24"/>
          <w:szCs w:val="24"/>
        </w:rPr>
        <w:t>六、课程设置与要求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_Toc90896272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sz w:val="24"/>
          <w:szCs w:val="24"/>
        </w:rPr>
      </w:pPr>
      <w:r>
        <w:fldChar w:fldCharType="begin"/>
      </w:r>
      <w:r>
        <w:instrText xml:space="preserve"> HYPERLINK \l "_Toc90896273" </w:instrText>
      </w:r>
      <w:r>
        <w:fldChar w:fldCharType="separate"/>
      </w:r>
      <w:r>
        <w:rPr>
          <w:rStyle w:val="44"/>
          <w:rFonts w:asciiTheme="minorEastAsia" w:hAnsiTheme="minorEastAsia" w:eastAsiaTheme="minorEastAsia"/>
          <w:sz w:val="24"/>
          <w:szCs w:val="24"/>
        </w:rPr>
        <w:t>（一）公共基础课程</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_Toc90896273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ind w:firstLine="676" w:firstLineChars="282"/>
      </w:pPr>
      <w:r>
        <w:t>（</w:t>
      </w:r>
      <w:r>
        <w:rPr>
          <w:rFonts w:hint="eastAsia"/>
        </w:rPr>
        <w:t>二</w:t>
      </w:r>
      <w:r>
        <w:t>）专业核心课程</w:t>
      </w:r>
      <w:r>
        <w:rPr>
          <w:rFonts w:hint="eastAsia"/>
        </w:rPr>
        <w:t xml:space="preserve">                                                  9</w:t>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"_Toc90896274" </w:instrText>
      </w:r>
      <w:r>
        <w:fldChar w:fldCharType="separate"/>
      </w:r>
      <w:r>
        <w:rPr>
          <w:rStyle w:val="44"/>
          <w:rFonts w:asciiTheme="minorEastAsia" w:hAnsiTheme="minorEastAsia" w:eastAsiaTheme="minorEastAsia"/>
          <w:sz w:val="24"/>
          <w:szCs w:val="24"/>
        </w:rPr>
        <w:t>七、教学进程总体安排</w:t>
      </w:r>
      <w:r>
        <w:rPr>
          <w:rFonts w:asciiTheme="minorEastAsia" w:hAnsiTheme="minorEastAsia" w:eastAsiaTheme="minorEastAsia"/>
          <w:sz w:val="24"/>
          <w:szCs w:val="24"/>
        </w:rPr>
        <w:tab/>
      </w:r>
      <w:r>
        <w:rPr>
          <w:rFonts w:hint="eastAsia" w:asciiTheme="minorEastAsia" w:hAnsiTheme="minorEastAsia" w:eastAsiaTheme="minorEastAsia"/>
          <w:sz w:val="24"/>
          <w:szCs w:val="24"/>
        </w:rPr>
        <w:t>11</w:t>
      </w:r>
      <w:r>
        <w:rPr>
          <w:rFonts w:hint="eastAsia"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"_Toc90896275" </w:instrText>
      </w:r>
      <w:r>
        <w:fldChar w:fldCharType="separate"/>
      </w:r>
      <w:r>
        <w:rPr>
          <w:rStyle w:val="44"/>
          <w:rFonts w:asciiTheme="minorEastAsia" w:hAnsiTheme="minorEastAsia" w:eastAsiaTheme="minorEastAsia"/>
          <w:sz w:val="24"/>
          <w:szCs w:val="24"/>
        </w:rPr>
        <w:t>（一）课程体系的框架与说明</w:t>
      </w:r>
      <w:r>
        <w:rPr>
          <w:rFonts w:asciiTheme="minorEastAsia" w:hAnsiTheme="minorEastAsia" w:eastAsiaTheme="minorEastAsia"/>
          <w:sz w:val="24"/>
          <w:szCs w:val="24"/>
        </w:rPr>
        <w:tab/>
      </w:r>
      <w:r>
        <w:rPr>
          <w:rFonts w:hint="eastAsia" w:asciiTheme="minorEastAsia" w:hAnsiTheme="minorEastAsia" w:eastAsiaTheme="minorEastAsia"/>
          <w:sz w:val="24"/>
          <w:szCs w:val="24"/>
        </w:rPr>
        <w:t>11</w:t>
      </w:r>
      <w:r>
        <w:rPr>
          <w:rFonts w:hint="eastAsia"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"_Toc90896276" </w:instrText>
      </w:r>
      <w:r>
        <w:fldChar w:fldCharType="separate"/>
      </w:r>
      <w:r>
        <w:rPr>
          <w:rStyle w:val="44"/>
          <w:rFonts w:asciiTheme="minorEastAsia" w:hAnsiTheme="minorEastAsia" w:eastAsiaTheme="minorEastAsia"/>
          <w:sz w:val="24"/>
          <w:szCs w:val="24"/>
        </w:rPr>
        <w:t>（二）教学进程安排及说明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hint="eastAsia"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"_Toc90896278" </w:instrText>
      </w:r>
      <w:r>
        <w:fldChar w:fldCharType="separate"/>
      </w:r>
      <w:r>
        <w:rPr>
          <w:rStyle w:val="44"/>
          <w:rFonts w:asciiTheme="minorEastAsia" w:hAnsiTheme="minorEastAsia" w:eastAsiaTheme="minorEastAsia"/>
          <w:sz w:val="24"/>
          <w:szCs w:val="24"/>
        </w:rPr>
        <w:t>八、实施保障</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_Toc90896278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"_Toc90896279" </w:instrText>
      </w:r>
      <w:r>
        <w:fldChar w:fldCharType="separate"/>
      </w:r>
      <w:r>
        <w:rPr>
          <w:rStyle w:val="44"/>
          <w:rFonts w:asciiTheme="minorEastAsia" w:hAnsiTheme="minorEastAsia" w:eastAsiaTheme="minorEastAsia"/>
          <w:sz w:val="24"/>
          <w:szCs w:val="24"/>
        </w:rPr>
        <w:t>（一）师资队伍</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_Toc90896279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"_Toc90896282" </w:instrText>
      </w:r>
      <w:r>
        <w:fldChar w:fldCharType="separate"/>
      </w:r>
      <w:r>
        <w:rPr>
          <w:rStyle w:val="44"/>
          <w:rFonts w:asciiTheme="minorEastAsia" w:hAnsiTheme="minorEastAsia" w:eastAsiaTheme="minorEastAsia"/>
          <w:sz w:val="24"/>
          <w:szCs w:val="24"/>
        </w:rPr>
        <w:t>（二）教学设施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_Toc90896282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"_Toc90896285" </w:instrText>
      </w:r>
      <w:r>
        <w:fldChar w:fldCharType="separate"/>
      </w:r>
      <w:r>
        <w:rPr>
          <w:rStyle w:val="44"/>
          <w:rFonts w:asciiTheme="minorEastAsia" w:hAnsiTheme="minorEastAsia" w:eastAsiaTheme="minorEastAsia"/>
          <w:sz w:val="24"/>
          <w:szCs w:val="24"/>
        </w:rPr>
        <w:t>（三）教学资源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_Toc90896285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"_Toc90896286" </w:instrText>
      </w:r>
      <w:r>
        <w:fldChar w:fldCharType="separate"/>
      </w:r>
      <w:r>
        <w:rPr>
          <w:rStyle w:val="44"/>
          <w:rFonts w:asciiTheme="minorEastAsia" w:hAnsiTheme="minorEastAsia" w:eastAsiaTheme="minorEastAsia"/>
          <w:sz w:val="24"/>
          <w:szCs w:val="24"/>
        </w:rPr>
        <w:t>（四）教学方法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_Toc90896286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"_Toc90896287" </w:instrText>
      </w:r>
      <w:r>
        <w:fldChar w:fldCharType="separate"/>
      </w:r>
      <w:r>
        <w:rPr>
          <w:rStyle w:val="44"/>
          <w:rFonts w:asciiTheme="minorEastAsia" w:hAnsiTheme="minorEastAsia" w:eastAsiaTheme="minorEastAsia"/>
          <w:sz w:val="24"/>
          <w:szCs w:val="24"/>
        </w:rPr>
        <w:t>（五）学习评价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"_Toc90896288" </w:instrText>
      </w:r>
      <w:r>
        <w:fldChar w:fldCharType="separate"/>
      </w:r>
      <w:r>
        <w:rPr>
          <w:rStyle w:val="44"/>
          <w:rFonts w:asciiTheme="minorEastAsia" w:hAnsiTheme="minorEastAsia" w:eastAsiaTheme="minorEastAsia"/>
          <w:sz w:val="24"/>
          <w:szCs w:val="24"/>
        </w:rPr>
        <w:t>（六）质量管理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"_Toc90896289" </w:instrText>
      </w:r>
      <w:r>
        <w:fldChar w:fldCharType="separate"/>
      </w:r>
      <w:r>
        <w:rPr>
          <w:rStyle w:val="44"/>
          <w:rFonts w:asciiTheme="minorEastAsia" w:hAnsiTheme="minorEastAsia" w:eastAsiaTheme="minorEastAsia"/>
          <w:sz w:val="24"/>
          <w:szCs w:val="24"/>
        </w:rPr>
        <w:t>九、毕业要求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061"/>
        </w:tabs>
        <w:ind w:firstLine="403"/>
        <w:rPr>
          <w:rFonts w:asciiTheme="minorEastAsia" w:hAnsiTheme="minorEastAsia" w:eastAsiaTheme="minorEastAsia" w:cstheme="minorBidi"/>
          <w:b w:val="0"/>
          <w:bCs w:val="0"/>
          <w:caps w:val="0"/>
          <w:sz w:val="24"/>
          <w:szCs w:val="24"/>
        </w:rPr>
      </w:pPr>
      <w:r>
        <w:fldChar w:fldCharType="begin"/>
      </w:r>
      <w:r>
        <w:instrText xml:space="preserve"> HYPERLINK \l "_Toc90896290" </w:instrText>
      </w:r>
      <w:r>
        <w:fldChar w:fldCharType="separate"/>
      </w:r>
      <w:r>
        <w:rPr>
          <w:rStyle w:val="44"/>
          <w:rFonts w:asciiTheme="minorEastAsia" w:hAnsiTheme="minorEastAsia" w:eastAsiaTheme="minorEastAsia"/>
          <w:sz w:val="24"/>
          <w:szCs w:val="24"/>
        </w:rPr>
        <w:t>十、附录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_Toc90896290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0"/>
        <w:tabs>
          <w:tab w:val="right" w:leader="dot" w:pos="9061"/>
        </w:tabs>
        <w:ind w:firstLine="402"/>
        <w:rPr>
          <w:rFonts w:asciiTheme="minorEastAsia" w:hAnsiTheme="minorEastAsia" w:eastAsiaTheme="minorEastAsia" w:cstheme="minorBidi"/>
          <w:smallCaps w:val="0"/>
          <w:sz w:val="24"/>
          <w:szCs w:val="24"/>
        </w:rPr>
      </w:pPr>
      <w:r>
        <w:fldChar w:fldCharType="begin"/>
      </w:r>
      <w:r>
        <w:instrText xml:space="preserve"> HYPERLINK \l "_Toc90896292" </w:instrText>
      </w:r>
      <w:r>
        <w:fldChar w:fldCharType="separate"/>
      </w:r>
      <w:r>
        <w:rPr>
          <w:rStyle w:val="44"/>
          <w:rFonts w:asciiTheme="minorEastAsia" w:hAnsiTheme="minorEastAsia" w:eastAsiaTheme="minorEastAsia"/>
          <w:sz w:val="24"/>
          <w:szCs w:val="24"/>
        </w:rPr>
        <w:t>附录</w:t>
      </w:r>
      <w:r>
        <w:rPr>
          <w:rStyle w:val="44"/>
          <w:rFonts w:hint="eastAsia" w:asciiTheme="minorEastAsia" w:hAnsiTheme="minorEastAsia" w:eastAsiaTheme="minorEastAsia"/>
          <w:sz w:val="24"/>
          <w:szCs w:val="24"/>
        </w:rPr>
        <w:t>1</w:t>
      </w:r>
      <w:r>
        <w:rPr>
          <w:rStyle w:val="44"/>
          <w:rFonts w:asciiTheme="minorEastAsia" w:hAnsiTheme="minorEastAsia" w:eastAsiaTheme="minorEastAsia"/>
          <w:sz w:val="24"/>
          <w:szCs w:val="24"/>
        </w:rPr>
        <w:t>.生物制药技术三二分段专业2021级课程教学进程表</w:t>
      </w:r>
      <w:r>
        <w:rPr>
          <w:rStyle w:val="44"/>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34</w:t>
      </w:r>
    </w:p>
    <w:p>
      <w:pPr>
        <w:pStyle w:val="21"/>
        <w:tabs>
          <w:tab w:val="right" w:leader="dot" w:pos="9061"/>
        </w:tabs>
        <w:ind w:firstLine="196" w:firstLineChars="82"/>
        <w:rPr>
          <w:rFonts w:cs="Times New Roman"/>
          <w:b w:val="0"/>
          <w:bCs w:val="0"/>
          <w:caps w:val="0"/>
          <w:sz w:val="24"/>
          <w:szCs w:val="24"/>
        </w:rPr>
      </w:pPr>
      <w:r>
        <w:rPr>
          <w:rFonts w:cs="Times New Roman" w:asciiTheme="minorEastAsia" w:hAnsiTheme="minorEastAsia" w:eastAsiaTheme="minorEastAsia"/>
          <w:b w:val="0"/>
          <w:bCs w:val="0"/>
          <w:caps w:val="0"/>
          <w:sz w:val="24"/>
          <w:szCs w:val="24"/>
        </w:rPr>
        <w:fldChar w:fldCharType="end"/>
      </w:r>
    </w:p>
    <w:p>
      <w:pPr>
        <w:snapToGrid w:val="0"/>
        <w:ind w:firstLine="722"/>
        <w:jc w:val="center"/>
        <w:rPr>
          <w:rFonts w:ascii="方正小标宋简体" w:hAnsi="楷体" w:eastAsia="方正小标宋简体"/>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701" w:header="0" w:footer="850" w:gutter="0"/>
          <w:pgNumType w:fmt="numberInDash" w:start="1"/>
          <w:cols w:space="720" w:num="1"/>
          <w:titlePg/>
          <w:docGrid w:type="linesAndChars" w:linePitch="316" w:charSpace="195"/>
        </w:sectPr>
      </w:pPr>
    </w:p>
    <w:p>
      <w:pPr>
        <w:adjustRightInd w:val="0"/>
        <w:snapToGrid w:val="0"/>
        <w:ind w:firstLine="0" w:firstLineChars="0"/>
        <w:jc w:val="center"/>
        <w:rPr>
          <w:rFonts w:ascii="方正小标宋简体" w:hAnsi="宋体" w:eastAsia="方正小标宋简体"/>
          <w:kern w:val="6"/>
          <w:sz w:val="32"/>
          <w:szCs w:val="32"/>
        </w:rPr>
      </w:pPr>
      <w:r>
        <w:rPr>
          <w:rFonts w:ascii="方正小标宋简体" w:hAnsi="宋体" w:eastAsia="方正小标宋简体"/>
          <w:kern w:val="6"/>
          <w:sz w:val="32"/>
          <w:szCs w:val="32"/>
        </w:rPr>
        <w:t>2021</w:t>
      </w:r>
      <w:r>
        <w:rPr>
          <w:rFonts w:hint="eastAsia" w:ascii="方正小标宋简体" w:hAnsi="宋体" w:eastAsia="方正小标宋简体"/>
          <w:kern w:val="6"/>
          <w:sz w:val="32"/>
          <w:szCs w:val="32"/>
        </w:rPr>
        <w:t>级生物制药技术三二</w:t>
      </w:r>
      <w:r>
        <w:rPr>
          <w:rFonts w:ascii="方正小标宋简体" w:hAnsi="宋体" w:eastAsia="方正小标宋简体"/>
          <w:kern w:val="6"/>
          <w:sz w:val="32"/>
          <w:szCs w:val="32"/>
        </w:rPr>
        <w:t>分段</w:t>
      </w:r>
      <w:r>
        <w:rPr>
          <w:rFonts w:hint="eastAsia" w:ascii="方正小标宋简体" w:hAnsi="宋体" w:eastAsia="方正小标宋简体"/>
          <w:kern w:val="6"/>
          <w:sz w:val="32"/>
          <w:szCs w:val="32"/>
        </w:rPr>
        <w:t>专业人才培养方案</w:t>
      </w:r>
    </w:p>
    <w:p>
      <w:pPr>
        <w:pStyle w:val="2"/>
        <w:ind w:firstLine="564"/>
      </w:pPr>
      <w:bookmarkStart w:id="0" w:name="_Toc90889450"/>
      <w:bookmarkStart w:id="1" w:name="_Toc90896262"/>
      <w:r>
        <w:rPr>
          <w:rFonts w:hint="eastAsia"/>
        </w:rPr>
        <w:t>一、专业名称及代码</w:t>
      </w:r>
      <w:bookmarkEnd w:id="0"/>
      <w:bookmarkEnd w:id="1"/>
    </w:p>
    <w:p>
      <w:pPr>
        <w:ind w:firstLine="482"/>
      </w:pPr>
      <w:r>
        <w:rPr>
          <w:rFonts w:hint="eastAsia"/>
        </w:rPr>
        <w:t>生物制药技术三二分段专业</w:t>
      </w:r>
    </w:p>
    <w:p>
      <w:pPr>
        <w:ind w:firstLine="482"/>
      </w:pPr>
      <w:r>
        <w:rPr>
          <w:rFonts w:hint="eastAsia"/>
        </w:rPr>
        <w:t>专业代码：</w:t>
      </w:r>
      <w:r>
        <w:t>4</w:t>
      </w:r>
      <w:r>
        <w:rPr>
          <w:rFonts w:hint="eastAsia"/>
        </w:rPr>
        <w:t>9020</w:t>
      </w:r>
      <w:r>
        <w:t>2</w:t>
      </w:r>
    </w:p>
    <w:p>
      <w:pPr>
        <w:pStyle w:val="2"/>
        <w:ind w:firstLine="564"/>
      </w:pPr>
      <w:bookmarkStart w:id="2" w:name="_Toc360873441"/>
      <w:bookmarkStart w:id="3" w:name="_Toc90896263"/>
      <w:bookmarkStart w:id="4" w:name="_Toc90889451"/>
      <w:r>
        <w:rPr>
          <w:rFonts w:hint="eastAsia"/>
        </w:rPr>
        <w:t>二、</w:t>
      </w:r>
      <w:bookmarkEnd w:id="2"/>
      <w:r>
        <w:rPr>
          <w:rFonts w:hint="eastAsia"/>
        </w:rPr>
        <w:t>入学要求</w:t>
      </w:r>
      <w:bookmarkEnd w:id="3"/>
      <w:bookmarkEnd w:id="4"/>
    </w:p>
    <w:p>
      <w:pPr>
        <w:ind w:firstLine="482"/>
      </w:pPr>
      <w:bookmarkStart w:id="5" w:name="_Toc76494807"/>
      <w:bookmarkStart w:id="6" w:name="_Toc360873442"/>
      <w:r>
        <w:rPr>
          <w:rFonts w:hint="eastAsia"/>
        </w:rPr>
        <w:t>中专阶段教育毕业生或具有同等学历者。</w:t>
      </w:r>
      <w:bookmarkEnd w:id="5"/>
    </w:p>
    <w:p>
      <w:pPr>
        <w:pStyle w:val="2"/>
        <w:ind w:firstLine="564"/>
      </w:pPr>
      <w:bookmarkStart w:id="7" w:name="_Toc90889452"/>
      <w:bookmarkStart w:id="8" w:name="_Toc90896264"/>
      <w:r>
        <w:rPr>
          <w:rFonts w:hint="eastAsia"/>
        </w:rPr>
        <w:t>三、</w:t>
      </w:r>
      <w:bookmarkEnd w:id="6"/>
      <w:r>
        <w:rPr>
          <w:rFonts w:hint="eastAsia"/>
        </w:rPr>
        <w:t>修业年限</w:t>
      </w:r>
      <w:bookmarkEnd w:id="7"/>
      <w:bookmarkEnd w:id="8"/>
    </w:p>
    <w:p>
      <w:pPr>
        <w:ind w:firstLine="482"/>
      </w:pPr>
      <w:bookmarkStart w:id="9" w:name="_Toc76494809"/>
      <w:r>
        <w:rPr>
          <w:rFonts w:hint="eastAsia"/>
        </w:rPr>
        <w:t>修业年限为二年。</w:t>
      </w:r>
      <w:bookmarkEnd w:id="9"/>
    </w:p>
    <w:p>
      <w:pPr>
        <w:pStyle w:val="2"/>
        <w:ind w:firstLine="564"/>
      </w:pPr>
      <w:bookmarkStart w:id="10" w:name="_Toc360873443"/>
      <w:bookmarkStart w:id="11" w:name="_Toc433837626"/>
      <w:bookmarkStart w:id="12" w:name="_Toc90889453"/>
      <w:bookmarkStart w:id="13" w:name="_Toc90896265"/>
      <w:r>
        <w:rPr>
          <w:rFonts w:hint="eastAsia"/>
        </w:rPr>
        <w:t>四、职业面向</w:t>
      </w:r>
      <w:bookmarkEnd w:id="10"/>
      <w:bookmarkEnd w:id="11"/>
      <w:bookmarkEnd w:id="12"/>
      <w:bookmarkEnd w:id="13"/>
    </w:p>
    <w:p>
      <w:pPr>
        <w:ind w:firstLine="482"/>
      </w:pPr>
      <w:r>
        <w:rPr>
          <w:rFonts w:hint="eastAsia"/>
        </w:rPr>
        <w:t>可在生物制药、生物农药单位从事生产、检验、调剂、营销等工作，主要可以从事药品生产、药品检验、药品调剂、药品销售等岗位。</w:t>
      </w:r>
    </w:p>
    <w:p>
      <w:pPr>
        <w:pStyle w:val="3"/>
        <w:ind w:firstLine="564"/>
      </w:pPr>
      <w:bookmarkStart w:id="14" w:name="_Toc433837627"/>
      <w:bookmarkStart w:id="15" w:name="_Toc90896266"/>
      <w:bookmarkStart w:id="16" w:name="_Toc90889454"/>
      <w:r>
        <w:rPr>
          <w:rFonts w:hint="eastAsia"/>
        </w:rPr>
        <w:t>（一）就业职业领域</w:t>
      </w:r>
      <w:bookmarkEnd w:id="14"/>
      <w:bookmarkEnd w:id="15"/>
      <w:bookmarkEnd w:id="16"/>
    </w:p>
    <w:p>
      <w:pPr>
        <w:ind w:firstLine="482"/>
      </w:pPr>
      <w:r>
        <w:rPr>
          <w:rFonts w:hint="eastAsia"/>
        </w:rPr>
        <w:t>生物制药工程</w:t>
      </w:r>
      <w:r>
        <w:rPr>
          <w:rStyle w:val="43"/>
          <w:rFonts w:ascii="Arial" w:hAnsi="Arial" w:cs="Arial"/>
          <w:color w:val="auto"/>
        </w:rPr>
        <w:t>领域</w:t>
      </w:r>
      <w:r>
        <w:t>、生物技术</w:t>
      </w:r>
      <w:r>
        <w:rPr>
          <w:rStyle w:val="43"/>
          <w:rFonts w:ascii="Arial" w:hAnsi="Arial" w:cs="Arial"/>
          <w:color w:val="auto"/>
        </w:rPr>
        <w:t>领域</w:t>
      </w:r>
      <w:r>
        <w:t>、</w:t>
      </w:r>
      <w:r>
        <w:rPr>
          <w:rFonts w:hint="eastAsia"/>
        </w:rPr>
        <w:t>生物药物制剂</w:t>
      </w:r>
      <w:r>
        <w:rPr>
          <w:rStyle w:val="43"/>
          <w:rFonts w:ascii="Arial" w:hAnsi="Arial" w:cs="Arial"/>
          <w:color w:val="auto"/>
        </w:rPr>
        <w:t>领域</w:t>
      </w:r>
      <w:r>
        <w:rPr>
          <w:rFonts w:hint="eastAsia"/>
        </w:rPr>
        <w:t>、生物农药</w:t>
      </w:r>
      <w:r>
        <w:rPr>
          <w:rStyle w:val="43"/>
          <w:rFonts w:ascii="Arial" w:hAnsi="Arial" w:cs="Arial"/>
          <w:color w:val="auto"/>
        </w:rPr>
        <w:t>领域</w:t>
      </w:r>
      <w:r>
        <w:rPr>
          <w:rFonts w:hint="eastAsia"/>
        </w:rPr>
        <w:t>、</w:t>
      </w:r>
      <w:r>
        <w:t>医疗卫生部门</w:t>
      </w:r>
      <w:r>
        <w:rPr>
          <w:rFonts w:hint="eastAsia"/>
        </w:rPr>
        <w:t>等。</w:t>
      </w:r>
    </w:p>
    <w:p>
      <w:pPr>
        <w:ind w:firstLine="0" w:firstLineChars="0"/>
        <w:jc w:val="center"/>
        <w:rPr>
          <w:kern w:val="0"/>
        </w:rPr>
      </w:pPr>
      <w:r>
        <w:rPr>
          <w:rFonts w:hint="eastAsia"/>
          <w:lang w:val="zh-CN"/>
        </w:rPr>
        <w:t>表</w:t>
      </w:r>
      <w:r>
        <w:rPr>
          <w:rFonts w:hint="eastAsia"/>
        </w:rPr>
        <w:t xml:space="preserve">1   </w:t>
      </w:r>
      <w:r>
        <w:rPr>
          <w:rFonts w:hint="eastAsia"/>
          <w:lang w:val="zh-CN"/>
        </w:rPr>
        <w:t>生物制药技术三二分段专业岗位群与典型工作任务分析</w:t>
      </w:r>
    </w:p>
    <w:tbl>
      <w:tblPr>
        <w:tblStyle w:val="37"/>
        <w:tblpPr w:leftFromText="180" w:rightFromText="180" w:vertAnchor="text" w:horzAnchor="page" w:tblpXSpec="center" w:tblpY="294"/>
        <w:tblOverlap w:val="never"/>
        <w:tblW w:w="0" w:type="auto"/>
        <w:jc w:val="center"/>
        <w:tblCellSpacing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13"/>
        <w:gridCol w:w="1409"/>
        <w:gridCol w:w="58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Align w:val="center"/>
          </w:tcPr>
          <w:p>
            <w:pPr>
              <w:pStyle w:val="175"/>
              <w:framePr w:hSpace="0" w:wrap="auto" w:vAnchor="margin" w:hAnchor="text" w:xAlign="left" w:yAlign="inline"/>
            </w:pPr>
            <w:r>
              <w:t>职业范围</w:t>
            </w:r>
          </w:p>
        </w:tc>
        <w:tc>
          <w:tcPr>
            <w:tcW w:w="1409" w:type="dxa"/>
            <w:vAlign w:val="center"/>
          </w:tcPr>
          <w:p>
            <w:pPr>
              <w:pStyle w:val="175"/>
              <w:framePr w:hSpace="0" w:wrap="auto" w:vAnchor="margin" w:hAnchor="text" w:xAlign="left" w:yAlign="inline"/>
            </w:pPr>
            <w:r>
              <w:t>职业岗位</w:t>
            </w:r>
          </w:p>
        </w:tc>
        <w:tc>
          <w:tcPr>
            <w:tcW w:w="5852" w:type="dxa"/>
            <w:vAlign w:val="center"/>
          </w:tcPr>
          <w:p>
            <w:pPr>
              <w:pStyle w:val="175"/>
              <w:framePr w:hSpace="0" w:wrap="auto" w:vAnchor="margin" w:hAnchor="text" w:xAlign="left" w:yAlign="inline"/>
            </w:pPr>
            <w:r>
              <w:t>典型工作任务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Merge w:val="restart"/>
            <w:vAlign w:val="center"/>
          </w:tcPr>
          <w:p>
            <w:pPr>
              <w:pStyle w:val="175"/>
              <w:framePr w:hSpace="0" w:wrap="auto" w:vAnchor="margin" w:hAnchor="text" w:xAlign="left" w:yAlign="inline"/>
            </w:pPr>
            <w:r>
              <w:t>药品生产企业</w:t>
            </w:r>
          </w:p>
        </w:tc>
        <w:tc>
          <w:tcPr>
            <w:tcW w:w="1409" w:type="dxa"/>
            <w:vAlign w:val="center"/>
          </w:tcPr>
          <w:p>
            <w:pPr>
              <w:pStyle w:val="175"/>
              <w:framePr w:hSpace="0" w:wrap="auto" w:vAnchor="margin" w:hAnchor="text" w:xAlign="left" w:yAlign="inline"/>
            </w:pPr>
            <w:r>
              <w:t>药品生产</w:t>
            </w:r>
          </w:p>
        </w:tc>
        <w:tc>
          <w:tcPr>
            <w:tcW w:w="5852" w:type="dxa"/>
            <w:vAlign w:val="center"/>
          </w:tcPr>
          <w:p>
            <w:pPr>
              <w:pStyle w:val="175"/>
              <w:framePr w:hSpace="0" w:wrap="auto" w:vAnchor="margin" w:hAnchor="text" w:xAlign="left" w:yAlign="inline"/>
            </w:pPr>
            <w:r>
              <w:t>物料控制、工艺控制与改进、有效成分的提取、设备操作与维护、制粒、压片、胶囊灌装、技术档案管理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Merge w:val="continue"/>
            <w:vAlign w:val="center"/>
          </w:tcPr>
          <w:p>
            <w:pPr>
              <w:pStyle w:val="175"/>
              <w:framePr w:hSpace="0" w:wrap="auto" w:vAnchor="margin" w:hAnchor="text" w:xAlign="left" w:yAlign="inline"/>
            </w:pPr>
          </w:p>
        </w:tc>
        <w:tc>
          <w:tcPr>
            <w:tcW w:w="1409" w:type="dxa"/>
            <w:vAlign w:val="center"/>
          </w:tcPr>
          <w:p>
            <w:pPr>
              <w:pStyle w:val="175"/>
              <w:framePr w:hSpace="0" w:wrap="auto" w:vAnchor="margin" w:hAnchor="text" w:xAlign="left" w:yAlign="inline"/>
            </w:pPr>
            <w:r>
              <w:t>药品检验</w:t>
            </w:r>
          </w:p>
        </w:tc>
        <w:tc>
          <w:tcPr>
            <w:tcW w:w="5852" w:type="dxa"/>
            <w:vAlign w:val="center"/>
          </w:tcPr>
          <w:p>
            <w:pPr>
              <w:pStyle w:val="175"/>
              <w:framePr w:hSpace="0" w:wrap="auto" w:vAnchor="margin" w:hAnchor="text" w:xAlign="left" w:yAlign="inline"/>
            </w:pPr>
            <w:r>
              <w:t>物料分析检验、药物生产中间品的分析检验、药物制剂分析检验、药物生产环节质控专业仪器的使用与维护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Merge w:val="continue"/>
            <w:vAlign w:val="center"/>
          </w:tcPr>
          <w:p>
            <w:pPr>
              <w:pStyle w:val="175"/>
              <w:framePr w:hSpace="0" w:wrap="auto" w:vAnchor="margin" w:hAnchor="text" w:xAlign="left" w:yAlign="inline"/>
            </w:pPr>
          </w:p>
        </w:tc>
        <w:tc>
          <w:tcPr>
            <w:tcW w:w="1409" w:type="dxa"/>
            <w:vAlign w:val="center"/>
          </w:tcPr>
          <w:p>
            <w:pPr>
              <w:pStyle w:val="175"/>
              <w:framePr w:hSpace="0" w:wrap="auto" w:vAnchor="margin" w:hAnchor="text" w:xAlign="left" w:yAlign="inline"/>
            </w:pPr>
            <w:r>
              <w:t>管理岗位</w:t>
            </w:r>
          </w:p>
        </w:tc>
        <w:tc>
          <w:tcPr>
            <w:tcW w:w="5852" w:type="dxa"/>
            <w:vAlign w:val="center"/>
          </w:tcPr>
          <w:p>
            <w:pPr>
              <w:pStyle w:val="175"/>
              <w:framePr w:hSpace="0" w:wrap="auto" w:vAnchor="margin" w:hAnchor="text" w:xAlign="left" w:yAlign="inline"/>
            </w:pPr>
            <w:r>
              <w:t>数据统计、人员培训、生产计划编制、办公室日常管理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Align w:val="center"/>
          </w:tcPr>
          <w:p>
            <w:pPr>
              <w:pStyle w:val="175"/>
              <w:framePr w:hSpace="0" w:wrap="auto" w:vAnchor="margin" w:hAnchor="text" w:xAlign="left" w:yAlign="inline"/>
            </w:pPr>
            <w:r>
              <w:t>药品使用单位</w:t>
            </w:r>
          </w:p>
        </w:tc>
        <w:tc>
          <w:tcPr>
            <w:tcW w:w="1409" w:type="dxa"/>
            <w:vAlign w:val="center"/>
          </w:tcPr>
          <w:p>
            <w:pPr>
              <w:pStyle w:val="175"/>
              <w:framePr w:hSpace="0" w:wrap="auto" w:vAnchor="margin" w:hAnchor="text" w:xAlign="left" w:yAlign="inline"/>
            </w:pPr>
            <w:r>
              <w:t>药品调剂</w:t>
            </w:r>
          </w:p>
        </w:tc>
        <w:tc>
          <w:tcPr>
            <w:tcW w:w="5852" w:type="dxa"/>
            <w:vAlign w:val="center"/>
          </w:tcPr>
          <w:p>
            <w:pPr>
              <w:pStyle w:val="175"/>
              <w:framePr w:hSpace="0" w:wrap="auto" w:vAnchor="margin" w:hAnchor="text" w:xAlign="left" w:yAlign="inline"/>
            </w:pPr>
            <w:r>
              <w:t>处方审核、药品调剂、指导合理用药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Merge w:val="restart"/>
            <w:vAlign w:val="center"/>
          </w:tcPr>
          <w:p>
            <w:pPr>
              <w:pStyle w:val="175"/>
              <w:framePr w:hSpace="0" w:wrap="auto" w:vAnchor="margin" w:hAnchor="text" w:xAlign="left" w:yAlign="inline"/>
            </w:pPr>
            <w:r>
              <w:t>药品经营单位</w:t>
            </w:r>
          </w:p>
        </w:tc>
        <w:tc>
          <w:tcPr>
            <w:tcW w:w="1409" w:type="dxa"/>
            <w:vAlign w:val="center"/>
          </w:tcPr>
          <w:p>
            <w:pPr>
              <w:pStyle w:val="175"/>
              <w:framePr w:hSpace="0" w:wrap="auto" w:vAnchor="margin" w:hAnchor="text" w:xAlign="left" w:yAlign="inline"/>
            </w:pPr>
            <w:r>
              <w:t>药品调剂</w:t>
            </w:r>
          </w:p>
        </w:tc>
        <w:tc>
          <w:tcPr>
            <w:tcW w:w="5852" w:type="dxa"/>
            <w:vAlign w:val="center"/>
          </w:tcPr>
          <w:p>
            <w:pPr>
              <w:pStyle w:val="175"/>
              <w:framePr w:hSpace="0" w:wrap="auto" w:vAnchor="margin" w:hAnchor="text" w:xAlign="left" w:yAlign="inline"/>
            </w:pPr>
            <w:r>
              <w:t>处方药的销售、处方审核、药品调剂、指导合理用药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Merge w:val="continue"/>
            <w:vAlign w:val="center"/>
          </w:tcPr>
          <w:p>
            <w:pPr>
              <w:pStyle w:val="175"/>
              <w:framePr w:hSpace="0" w:wrap="auto" w:vAnchor="margin" w:hAnchor="text" w:xAlign="left" w:yAlign="inline"/>
            </w:pPr>
          </w:p>
        </w:tc>
        <w:tc>
          <w:tcPr>
            <w:tcW w:w="1409" w:type="dxa"/>
            <w:vAlign w:val="center"/>
          </w:tcPr>
          <w:p>
            <w:pPr>
              <w:pStyle w:val="175"/>
              <w:framePr w:hSpace="0" w:wrap="auto" w:vAnchor="margin" w:hAnchor="text" w:xAlign="left" w:yAlign="inline"/>
            </w:pPr>
            <w:r>
              <w:t>药店营业员</w:t>
            </w:r>
          </w:p>
        </w:tc>
        <w:tc>
          <w:tcPr>
            <w:tcW w:w="5852" w:type="dxa"/>
            <w:vAlign w:val="center"/>
          </w:tcPr>
          <w:p>
            <w:pPr>
              <w:pStyle w:val="175"/>
              <w:framePr w:hSpace="0" w:wrap="auto" w:vAnchor="margin" w:hAnchor="text" w:xAlign="left" w:yAlign="inline"/>
            </w:pPr>
            <w:r>
              <w:t>非处方药的销售、非处方药的用药指导、药品调剂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Align w:val="center"/>
          </w:tcPr>
          <w:p>
            <w:pPr>
              <w:pStyle w:val="175"/>
              <w:framePr w:hSpace="0" w:wrap="auto" w:vAnchor="margin" w:hAnchor="text" w:xAlign="left" w:yAlign="inline"/>
            </w:pPr>
            <w:r>
              <w:t>药品销售</w:t>
            </w:r>
          </w:p>
        </w:tc>
        <w:tc>
          <w:tcPr>
            <w:tcW w:w="1409" w:type="dxa"/>
            <w:vAlign w:val="center"/>
          </w:tcPr>
          <w:p>
            <w:pPr>
              <w:pStyle w:val="175"/>
              <w:framePr w:hSpace="0" w:wrap="auto" w:vAnchor="margin" w:hAnchor="text" w:xAlign="left" w:yAlign="inline"/>
            </w:pPr>
            <w:r>
              <w:t>销售业务</w:t>
            </w:r>
          </w:p>
        </w:tc>
        <w:tc>
          <w:tcPr>
            <w:tcW w:w="5852" w:type="dxa"/>
            <w:vAlign w:val="center"/>
          </w:tcPr>
          <w:p>
            <w:pPr>
              <w:pStyle w:val="175"/>
              <w:framePr w:hSpace="0" w:wrap="auto" w:vAnchor="margin" w:hAnchor="text" w:xAlign="left" w:yAlign="inline"/>
            </w:pPr>
            <w:r>
              <w:t>市场调研、药品推广策划、药品销售、销售信息反馈、组织营销服务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Merge w:val="restart"/>
            <w:vAlign w:val="center"/>
          </w:tcPr>
          <w:p>
            <w:pPr>
              <w:pStyle w:val="175"/>
              <w:framePr w:hSpace="0" w:wrap="auto" w:vAnchor="margin" w:hAnchor="text" w:xAlign="left" w:yAlign="inline"/>
            </w:pPr>
            <w:r>
              <w:t>其它</w:t>
            </w:r>
          </w:p>
        </w:tc>
        <w:tc>
          <w:tcPr>
            <w:tcW w:w="1409" w:type="dxa"/>
            <w:vAlign w:val="center"/>
          </w:tcPr>
          <w:p>
            <w:pPr>
              <w:pStyle w:val="175"/>
              <w:framePr w:hSpace="0" w:wrap="auto" w:vAnchor="margin" w:hAnchor="text" w:xAlign="left" w:yAlign="inline"/>
            </w:pPr>
            <w:r>
              <w:t>保健品的营销</w:t>
            </w:r>
          </w:p>
        </w:tc>
        <w:tc>
          <w:tcPr>
            <w:tcW w:w="5852" w:type="dxa"/>
            <w:vAlign w:val="center"/>
          </w:tcPr>
          <w:p>
            <w:pPr>
              <w:pStyle w:val="175"/>
              <w:framePr w:hSpace="0" w:wrap="auto" w:vAnchor="margin" w:hAnchor="text" w:xAlign="left" w:yAlign="inline"/>
            </w:pPr>
            <w:r>
              <w:t>保健品的营销与管理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1013" w:type="dxa"/>
            <w:vMerge w:val="continue"/>
            <w:vAlign w:val="center"/>
          </w:tcPr>
          <w:p>
            <w:pPr>
              <w:pStyle w:val="175"/>
              <w:framePr w:hSpace="0" w:wrap="auto" w:vAnchor="margin" w:hAnchor="text" w:xAlign="left" w:yAlign="inline"/>
            </w:pPr>
          </w:p>
        </w:tc>
        <w:tc>
          <w:tcPr>
            <w:tcW w:w="1409" w:type="dxa"/>
            <w:vAlign w:val="center"/>
          </w:tcPr>
          <w:p>
            <w:pPr>
              <w:pStyle w:val="175"/>
              <w:framePr w:hSpace="0" w:wrap="auto" w:vAnchor="margin" w:hAnchor="text" w:xAlign="left" w:yAlign="inline"/>
            </w:pPr>
            <w:r>
              <w:t>实验教学辅助</w:t>
            </w:r>
          </w:p>
        </w:tc>
        <w:tc>
          <w:tcPr>
            <w:tcW w:w="5852" w:type="dxa"/>
            <w:vAlign w:val="center"/>
          </w:tcPr>
          <w:p>
            <w:pPr>
              <w:pStyle w:val="175"/>
              <w:framePr w:hSpace="0" w:wrap="auto" w:vAnchor="margin" w:hAnchor="text" w:xAlign="left" w:yAlign="inline"/>
            </w:pPr>
            <w:r>
              <w:t>药学实验人员</w:t>
            </w:r>
          </w:p>
        </w:tc>
      </w:tr>
    </w:tbl>
    <w:p>
      <w:pPr>
        <w:adjustRightInd w:val="0"/>
        <w:snapToGrid w:val="0"/>
        <w:ind w:firstLine="482"/>
        <w:rPr>
          <w:rFonts w:ascii="宋体" w:hAnsi="宋体"/>
        </w:rPr>
      </w:pPr>
    </w:p>
    <w:p>
      <w:pPr>
        <w:adjustRightInd w:val="0"/>
        <w:snapToGrid w:val="0"/>
        <w:ind w:firstLine="482"/>
        <w:rPr>
          <w:rFonts w:ascii="宋体" w:hAnsi="宋体"/>
        </w:rPr>
      </w:pPr>
    </w:p>
    <w:p>
      <w:pPr>
        <w:adjustRightInd w:val="0"/>
        <w:snapToGrid w:val="0"/>
        <w:ind w:firstLine="482"/>
        <w:rPr>
          <w:rFonts w:ascii="宋体" w:hAnsi="宋体"/>
        </w:rPr>
      </w:pPr>
    </w:p>
    <w:p>
      <w:pPr>
        <w:adjustRightInd w:val="0"/>
        <w:snapToGrid w:val="0"/>
        <w:ind w:firstLine="482"/>
        <w:rPr>
          <w:rFonts w:ascii="宋体" w:hAnsi="宋体"/>
        </w:rPr>
      </w:pPr>
    </w:p>
    <w:p>
      <w:pPr>
        <w:adjustRightInd w:val="0"/>
        <w:snapToGrid w:val="0"/>
        <w:ind w:firstLine="482"/>
        <w:rPr>
          <w:rFonts w:ascii="宋体" w:hAnsi="宋体"/>
        </w:rPr>
      </w:pPr>
    </w:p>
    <w:p>
      <w:pPr>
        <w:adjustRightInd w:val="0"/>
        <w:snapToGrid w:val="0"/>
        <w:ind w:firstLine="0" w:firstLineChars="0"/>
        <w:rPr>
          <w:rFonts w:ascii="宋体" w:hAnsi="宋体"/>
        </w:rPr>
      </w:pPr>
    </w:p>
    <w:p>
      <w:pPr>
        <w:pStyle w:val="3"/>
        <w:ind w:firstLine="564"/>
      </w:pPr>
      <w:bookmarkStart w:id="17" w:name="_Toc90896267"/>
      <w:bookmarkStart w:id="18" w:name="_Toc433837628"/>
      <w:bookmarkStart w:id="19" w:name="_Toc90889455"/>
      <w:r>
        <w:rPr>
          <w:rFonts w:hint="eastAsia"/>
        </w:rPr>
        <w:t>（二）初始就业岗位群</w:t>
      </w:r>
      <w:bookmarkEnd w:id="17"/>
      <w:bookmarkEnd w:id="18"/>
      <w:bookmarkEnd w:id="19"/>
    </w:p>
    <w:p>
      <w:pPr>
        <w:ind w:firstLine="482"/>
      </w:pPr>
      <w:r>
        <w:rPr>
          <w:rFonts w:hint="eastAsia"/>
        </w:rPr>
        <w:t>本专业毕业生适应于各类生物医药企业从事微生物操作技术岗位群、发酵工程制药岗位群、生化制药岗位群、细胞培养制药岗位群、基因工程制药岗位群、生物药物制剂岗位群等工作。</w:t>
      </w:r>
    </w:p>
    <w:p>
      <w:pPr>
        <w:pStyle w:val="3"/>
        <w:ind w:firstLine="564"/>
      </w:pPr>
      <w:bookmarkStart w:id="20" w:name="_Toc90889456"/>
      <w:bookmarkStart w:id="21" w:name="_Toc433837629"/>
      <w:bookmarkStart w:id="22" w:name="_Toc90896268"/>
      <w:r>
        <w:rPr>
          <w:rFonts w:hint="eastAsia"/>
        </w:rPr>
        <w:t>（三）发展岗位群</w:t>
      </w:r>
      <w:bookmarkEnd w:id="20"/>
      <w:bookmarkEnd w:id="21"/>
      <w:bookmarkEnd w:id="22"/>
    </w:p>
    <w:p>
      <w:pPr>
        <w:ind w:firstLine="482"/>
      </w:pPr>
      <w:r>
        <w:rPr>
          <w:rFonts w:hint="eastAsia"/>
        </w:rPr>
        <w:t>本专业毕业生在获得一定工作经验（或进修）后，5年后可适应于各类生物医药企业从事基因工程制药研发岗位群、生物药品生产技术管理岗位群、质量管理岗位群等工作。</w:t>
      </w:r>
    </w:p>
    <w:p>
      <w:pPr>
        <w:pStyle w:val="2"/>
        <w:ind w:firstLine="564"/>
      </w:pPr>
      <w:bookmarkStart w:id="23" w:name="_Toc433837630"/>
      <w:bookmarkStart w:id="24" w:name="_Toc90896269"/>
      <w:bookmarkStart w:id="25" w:name="_Toc360873444"/>
      <w:bookmarkStart w:id="26" w:name="_Toc90889457"/>
      <w:r>
        <w:rPr>
          <w:rFonts w:hint="eastAsia"/>
        </w:rPr>
        <w:t>五、培养目标与培养规格</w:t>
      </w:r>
      <w:bookmarkEnd w:id="23"/>
      <w:bookmarkEnd w:id="24"/>
      <w:bookmarkEnd w:id="25"/>
      <w:bookmarkEnd w:id="26"/>
    </w:p>
    <w:p>
      <w:pPr>
        <w:pStyle w:val="3"/>
        <w:ind w:firstLine="564"/>
      </w:pPr>
      <w:bookmarkStart w:id="27" w:name="_Toc90896270"/>
      <w:bookmarkStart w:id="28" w:name="_Toc90889458"/>
      <w:r>
        <w:rPr>
          <w:rFonts w:hint="eastAsia"/>
        </w:rPr>
        <w:t>（一</w:t>
      </w:r>
      <w:r>
        <w:t>）</w:t>
      </w:r>
      <w:r>
        <w:rPr>
          <w:rFonts w:hint="eastAsia"/>
        </w:rPr>
        <w:t>培养目标</w:t>
      </w:r>
      <w:bookmarkEnd w:id="27"/>
      <w:bookmarkEnd w:id="28"/>
    </w:p>
    <w:p>
      <w:pPr>
        <w:ind w:firstLine="482"/>
      </w:pPr>
      <w:r>
        <w:rPr>
          <w:rFonts w:hint="eastAsia"/>
        </w:rPr>
        <w:t>根据微生物操作技术岗位群、发酵工程制药岗位群、生化制药岗位群、细胞培养制药岗位群、基因工程制药岗位群、生物药物制剂岗位群对从业人员的要求，生物制药技术三二分段专业的培养目标为：培养树立正确的人生观和价值观，具有良好的职业道德和法制观念，具备较高水平药品生产、药品检验、药品调剂、药品销售等岗位技能和相应基础知识，</w:t>
      </w:r>
      <w:r>
        <w:rPr>
          <w:rFonts w:hint="eastAsia"/>
          <w:kern w:val="0"/>
        </w:rPr>
        <w:t>具有一定创新能力</w:t>
      </w:r>
      <w:r>
        <w:rPr>
          <w:rFonts w:hint="eastAsia"/>
        </w:rPr>
        <w:t>从事生物制药及制剂的生产、质量检测等工作的高素质技术技能人才，培养“德智体美劳”全面发展的中国特色社会主义合格建设者和可靠接班人。</w:t>
      </w:r>
    </w:p>
    <w:p>
      <w:pPr>
        <w:ind w:firstLine="482"/>
      </w:pPr>
      <w:r>
        <w:rPr>
          <w:rFonts w:hint="eastAsia"/>
        </w:rPr>
        <w:t>毕业条件：</w:t>
      </w:r>
    </w:p>
    <w:p>
      <w:pPr>
        <w:ind w:firstLine="482"/>
      </w:pPr>
      <w:r>
        <w:rPr>
          <w:rFonts w:hint="eastAsia"/>
        </w:rPr>
        <w:t>本专业学生必须修完专业人才培养方案规定课程，成绩达合格标准，完成相应的顶岗实习及毕业论文（或毕业设计）后准许毕业。</w:t>
      </w:r>
    </w:p>
    <w:p>
      <w:pPr>
        <w:ind w:firstLine="482"/>
      </w:pPr>
      <w:r>
        <w:rPr>
          <w:rFonts w:hint="eastAsia"/>
        </w:rPr>
        <w:t>本专业毕业生达到以下标准方可毕业：</w:t>
      </w:r>
    </w:p>
    <w:p>
      <w:pPr>
        <w:ind w:firstLine="482"/>
      </w:pPr>
      <w:r>
        <w:rPr>
          <w:rFonts w:hint="eastAsia"/>
        </w:rPr>
        <w:t xml:space="preserve">1.操行评定合格：具有高职高专毕业生的基本职业素养和道德品质。 </w:t>
      </w:r>
    </w:p>
    <w:p>
      <w:pPr>
        <w:ind w:firstLine="482"/>
      </w:pPr>
      <w:r>
        <w:rPr>
          <w:rFonts w:hint="eastAsia"/>
        </w:rPr>
        <w:t>2.军事训练成绩合格。</w:t>
      </w:r>
    </w:p>
    <w:p>
      <w:pPr>
        <w:ind w:firstLine="482"/>
      </w:pPr>
      <w:r>
        <w:rPr>
          <w:rFonts w:hint="eastAsia"/>
        </w:rPr>
        <w:t>3.学时学分要求：教学总学时4</w:t>
      </w:r>
      <w:r>
        <w:t>794</w:t>
      </w:r>
      <w:r>
        <w:rPr>
          <w:rFonts w:hint="eastAsia"/>
        </w:rPr>
        <w:t>学时，修满总学分</w:t>
      </w:r>
      <w:r>
        <w:t>248</w:t>
      </w:r>
      <w:r>
        <w:rPr>
          <w:rFonts w:hint="eastAsia"/>
        </w:rPr>
        <w:t>学分。</w:t>
      </w:r>
    </w:p>
    <w:p>
      <w:pPr>
        <w:ind w:firstLine="482"/>
      </w:pPr>
      <w:r>
        <w:rPr>
          <w:rFonts w:hint="eastAsia"/>
        </w:rPr>
        <w:t>4.职业技能鉴定证书和等级证书要求：</w:t>
      </w:r>
      <w:r>
        <w:rPr>
          <w:rFonts w:hint="eastAsia"/>
        </w:rPr>
        <w:tab/>
      </w:r>
    </w:p>
    <w:p>
      <w:pPr>
        <w:ind w:firstLine="482"/>
      </w:pPr>
      <w:r>
        <w:rPr>
          <w:rFonts w:hint="eastAsia"/>
        </w:rPr>
        <w:t>①选取取得一定的中级和高级职业资格证书；</w:t>
      </w:r>
    </w:p>
    <w:p>
      <w:pPr>
        <w:ind w:firstLine="482"/>
      </w:pPr>
      <w:r>
        <w:rPr>
          <w:rFonts w:hint="eastAsia"/>
        </w:rPr>
        <w:t>②具有一定的计算机水平；</w:t>
      </w:r>
    </w:p>
    <w:p>
      <w:pPr>
        <w:ind w:firstLine="482"/>
      </w:pPr>
      <w:r>
        <w:rPr>
          <w:rFonts w:hint="eastAsia"/>
        </w:rPr>
        <w:t>③具有一定的英语水平；</w:t>
      </w:r>
    </w:p>
    <w:p>
      <w:pPr>
        <w:ind w:firstLine="482"/>
      </w:pPr>
      <w:r>
        <w:rPr>
          <w:rFonts w:hint="eastAsia"/>
        </w:rPr>
        <w:t>④完成相应的顶岗实习及毕业论文（或毕业设计）。</w:t>
      </w:r>
    </w:p>
    <w:p>
      <w:pPr>
        <w:pStyle w:val="3"/>
        <w:ind w:firstLine="564"/>
      </w:pPr>
      <w:bookmarkStart w:id="29" w:name="_Toc360873445"/>
      <w:bookmarkStart w:id="30" w:name="_Toc433837631"/>
      <w:bookmarkStart w:id="31" w:name="_Toc90889459"/>
      <w:bookmarkStart w:id="32" w:name="_Toc90896271"/>
      <w:r>
        <w:rPr>
          <w:rFonts w:hint="eastAsia"/>
        </w:rPr>
        <w:t>（二</w:t>
      </w:r>
      <w:r>
        <w:t>）</w:t>
      </w:r>
      <w:bookmarkEnd w:id="29"/>
      <w:bookmarkEnd w:id="30"/>
      <w:r>
        <w:rPr>
          <w:rFonts w:hint="eastAsia"/>
        </w:rPr>
        <w:t>培养规格</w:t>
      </w:r>
      <w:bookmarkEnd w:id="31"/>
      <w:bookmarkEnd w:id="32"/>
    </w:p>
    <w:p>
      <w:pPr>
        <w:ind w:firstLine="482"/>
      </w:pPr>
      <w:r>
        <w:rPr>
          <w:rFonts w:hint="eastAsia"/>
        </w:rPr>
        <w:t>在知识要求方面：</w:t>
      </w:r>
    </w:p>
    <w:p>
      <w:pPr>
        <w:ind w:firstLine="482"/>
      </w:pPr>
      <w:bookmarkStart w:id="33" w:name="_Toc433837632"/>
      <w:bookmarkStart w:id="34" w:name="_Toc360873446"/>
      <w:r>
        <w:rPr>
          <w:rFonts w:hint="eastAsia"/>
        </w:rPr>
        <w:t>1.掌握生物药物生产及车间管理知识。</w:t>
      </w:r>
    </w:p>
    <w:p>
      <w:pPr>
        <w:ind w:firstLine="482"/>
      </w:pPr>
      <w:r>
        <w:rPr>
          <w:rFonts w:hint="eastAsia"/>
        </w:rPr>
        <w:t>2.掌握本专业高等职业技术技能人才所必需的基础理论知识和人文知识。</w:t>
      </w:r>
    </w:p>
    <w:p>
      <w:pPr>
        <w:ind w:firstLine="482"/>
      </w:pPr>
      <w:r>
        <w:rPr>
          <w:rFonts w:hint="eastAsia"/>
        </w:rPr>
        <w:t>3.掌握本专业所必需的公共英语知识和专业英语知识。</w:t>
      </w:r>
    </w:p>
    <w:p>
      <w:pPr>
        <w:ind w:firstLine="482"/>
      </w:pPr>
      <w:r>
        <w:rPr>
          <w:rFonts w:hint="eastAsia"/>
        </w:rPr>
        <w:t>4.掌握计算机应用的基本知识。</w:t>
      </w:r>
    </w:p>
    <w:p>
      <w:pPr>
        <w:ind w:firstLine="482"/>
      </w:pPr>
      <w:r>
        <w:rPr>
          <w:rFonts w:hint="eastAsia"/>
        </w:rPr>
        <w:t>5.掌握高等数学的基本知识。</w:t>
      </w:r>
    </w:p>
    <w:p>
      <w:pPr>
        <w:ind w:firstLine="482"/>
      </w:pPr>
      <w:r>
        <w:rPr>
          <w:rFonts w:hint="eastAsia"/>
        </w:rPr>
        <w:t>6.掌握概率论与数理统计的基本知识。</w:t>
      </w:r>
    </w:p>
    <w:p>
      <w:pPr>
        <w:ind w:firstLine="482"/>
      </w:pPr>
      <w:r>
        <w:rPr>
          <w:rFonts w:hint="eastAsia"/>
        </w:rPr>
        <w:t>7.掌握本专业所必需的化学基础知识。</w:t>
      </w:r>
    </w:p>
    <w:p>
      <w:pPr>
        <w:ind w:firstLine="482"/>
      </w:pPr>
      <w:r>
        <w:rPr>
          <w:rFonts w:hint="eastAsia"/>
        </w:rPr>
        <w:t>8.掌握与本专业相关的微生物与生化知识。</w:t>
      </w:r>
    </w:p>
    <w:p>
      <w:pPr>
        <w:ind w:firstLine="482"/>
      </w:pPr>
      <w:r>
        <w:rPr>
          <w:rFonts w:hint="eastAsia"/>
        </w:rPr>
        <w:t>9.掌握本专业所必需的生物制药设备使用与维护知识。</w:t>
      </w:r>
    </w:p>
    <w:p>
      <w:pPr>
        <w:ind w:firstLine="482"/>
      </w:pPr>
      <w:r>
        <w:rPr>
          <w:rFonts w:hint="eastAsia"/>
        </w:rPr>
        <w:t>10.掌握与本专业相关的药物质量控制知识。</w:t>
      </w:r>
    </w:p>
    <w:p>
      <w:pPr>
        <w:ind w:firstLine="482"/>
      </w:pPr>
      <w:r>
        <w:rPr>
          <w:rFonts w:hint="eastAsia"/>
        </w:rPr>
        <w:t>11.掌握文献检索、相关法律法规、安全生产等基本知识。</w:t>
      </w:r>
    </w:p>
    <w:p>
      <w:pPr>
        <w:ind w:firstLine="482"/>
      </w:pPr>
      <w:r>
        <w:rPr>
          <w:rFonts w:hint="eastAsia"/>
        </w:rPr>
        <w:t>12.掌握药理学的基本理论、基本知识、基本技能。</w:t>
      </w:r>
    </w:p>
    <w:bookmarkEnd w:id="33"/>
    <w:bookmarkEnd w:id="34"/>
    <w:p>
      <w:pPr>
        <w:ind w:firstLine="482"/>
        <w:rPr>
          <w:rFonts w:asciiTheme="minorEastAsia" w:hAnsiTheme="minorEastAsia" w:eastAsiaTheme="minorEastAsia"/>
        </w:rPr>
      </w:pPr>
      <w:r>
        <w:rPr>
          <w:rFonts w:hint="eastAsia" w:asciiTheme="minorEastAsia" w:hAnsiTheme="minorEastAsia" w:eastAsiaTheme="minorEastAsia"/>
        </w:rPr>
        <w:t>在技能要求方面：</w:t>
      </w:r>
    </w:p>
    <w:p>
      <w:pPr>
        <w:ind w:firstLine="482"/>
        <w:rPr>
          <w:rFonts w:asciiTheme="minorEastAsia" w:hAnsiTheme="minorEastAsia" w:eastAsiaTheme="minorEastAsia"/>
        </w:rPr>
      </w:pPr>
      <w:r>
        <w:rPr>
          <w:rFonts w:hint="eastAsia" w:asciiTheme="minorEastAsia" w:hAnsiTheme="minorEastAsia" w:eastAsiaTheme="minorEastAsia"/>
        </w:rPr>
        <w:t>本专业学生经过培养，应该具有药品生产、药品检验、药品调剂、药品销售等岗位的相关技能。</w:t>
      </w:r>
    </w:p>
    <w:p>
      <w:pPr>
        <w:ind w:firstLine="482"/>
        <w:rPr>
          <w:rFonts w:asciiTheme="minorEastAsia" w:hAnsiTheme="minorEastAsia" w:eastAsiaTheme="minorEastAsia"/>
        </w:rPr>
      </w:pPr>
      <w:r>
        <w:rPr>
          <w:rFonts w:hint="eastAsia" w:asciiTheme="minorEastAsia" w:hAnsiTheme="minorEastAsia" w:eastAsiaTheme="minorEastAsia"/>
        </w:rPr>
        <w:t>1.具有生物药物生产与技术保障能力。</w:t>
      </w:r>
    </w:p>
    <w:p>
      <w:pPr>
        <w:ind w:firstLine="482"/>
        <w:rPr>
          <w:rFonts w:asciiTheme="minorEastAsia" w:hAnsiTheme="minorEastAsia" w:eastAsiaTheme="minorEastAsia"/>
        </w:rPr>
      </w:pPr>
      <w:r>
        <w:rPr>
          <w:rFonts w:hint="eastAsia" w:asciiTheme="minorEastAsia" w:hAnsiTheme="minorEastAsia" w:eastAsiaTheme="minorEastAsia"/>
        </w:rPr>
        <w:t>2.具有专业岗位工作需要的语言及文字表达能力。</w:t>
      </w:r>
    </w:p>
    <w:p>
      <w:pPr>
        <w:ind w:firstLine="482"/>
        <w:rPr>
          <w:rFonts w:asciiTheme="minorEastAsia" w:hAnsiTheme="minorEastAsia" w:eastAsiaTheme="minorEastAsia"/>
        </w:rPr>
      </w:pPr>
      <w:r>
        <w:rPr>
          <w:rFonts w:hint="eastAsia" w:asciiTheme="minorEastAsia" w:hAnsiTheme="minorEastAsia" w:eastAsiaTheme="minorEastAsia"/>
        </w:rPr>
        <w:t>3.具有英语阅读能力，能够阅读本专业一般英文资料。</w:t>
      </w:r>
    </w:p>
    <w:p>
      <w:pPr>
        <w:ind w:firstLine="482"/>
        <w:rPr>
          <w:rFonts w:asciiTheme="minorEastAsia" w:hAnsiTheme="minorEastAsia" w:eastAsiaTheme="minorEastAsia"/>
        </w:rPr>
      </w:pPr>
      <w:r>
        <w:rPr>
          <w:rFonts w:hint="eastAsia" w:asciiTheme="minorEastAsia" w:hAnsiTheme="minorEastAsia" w:eastAsiaTheme="minorEastAsia"/>
        </w:rPr>
        <w:t>4.具有计算机应用能力。</w:t>
      </w:r>
    </w:p>
    <w:p>
      <w:pPr>
        <w:ind w:firstLine="482"/>
        <w:rPr>
          <w:rFonts w:asciiTheme="minorEastAsia" w:hAnsiTheme="minorEastAsia" w:eastAsiaTheme="minorEastAsia"/>
        </w:rPr>
      </w:pPr>
      <w:r>
        <w:rPr>
          <w:rFonts w:hint="eastAsia" w:asciiTheme="minorEastAsia" w:hAnsiTheme="minorEastAsia" w:eastAsiaTheme="minorEastAsia"/>
        </w:rPr>
        <w:t>5.具有用数学方法分析问题和解决问题的能力。</w:t>
      </w:r>
    </w:p>
    <w:p>
      <w:pPr>
        <w:ind w:firstLine="482"/>
        <w:rPr>
          <w:rFonts w:asciiTheme="minorEastAsia" w:hAnsiTheme="minorEastAsia" w:eastAsiaTheme="minorEastAsia"/>
        </w:rPr>
      </w:pPr>
      <w:r>
        <w:rPr>
          <w:rFonts w:hint="eastAsia" w:asciiTheme="minorEastAsia" w:hAnsiTheme="minorEastAsia" w:eastAsiaTheme="minorEastAsia"/>
        </w:rPr>
        <w:t>6.具有利用统计分析软件进行独立分析问题和独立处理实验结果的能力。</w:t>
      </w:r>
    </w:p>
    <w:p>
      <w:pPr>
        <w:ind w:firstLine="482"/>
        <w:rPr>
          <w:rFonts w:asciiTheme="minorEastAsia" w:hAnsiTheme="minorEastAsia" w:eastAsiaTheme="minorEastAsia"/>
        </w:rPr>
      </w:pPr>
      <w:r>
        <w:rPr>
          <w:rFonts w:hint="eastAsia" w:asciiTheme="minorEastAsia" w:hAnsiTheme="minorEastAsia" w:eastAsiaTheme="minorEastAsia"/>
        </w:rPr>
        <w:t>7.具有常用生物药物设备使用与维护能力。</w:t>
      </w:r>
    </w:p>
    <w:p>
      <w:pPr>
        <w:ind w:firstLine="482"/>
        <w:rPr>
          <w:rFonts w:asciiTheme="minorEastAsia" w:hAnsiTheme="minorEastAsia" w:eastAsiaTheme="minorEastAsia"/>
        </w:rPr>
      </w:pPr>
      <w:r>
        <w:rPr>
          <w:rFonts w:hint="eastAsia" w:asciiTheme="minorEastAsia" w:hAnsiTheme="minorEastAsia" w:eastAsiaTheme="minorEastAsia"/>
        </w:rPr>
        <w:t>8.具有质量监测与控制能力。</w:t>
      </w:r>
    </w:p>
    <w:p>
      <w:pPr>
        <w:ind w:firstLine="482"/>
        <w:rPr>
          <w:rFonts w:asciiTheme="minorEastAsia" w:hAnsiTheme="minorEastAsia" w:eastAsiaTheme="minorEastAsia"/>
        </w:rPr>
      </w:pPr>
      <w:r>
        <w:rPr>
          <w:rFonts w:hint="eastAsia" w:asciiTheme="minorEastAsia" w:hAnsiTheme="minorEastAsia" w:eastAsiaTheme="minorEastAsia"/>
        </w:rPr>
        <w:t>9.懂得常用仪器的使用方法，能熟练地进行基础化学实验、生物药物实验，具有良好的实践操作技能。</w:t>
      </w:r>
    </w:p>
    <w:p>
      <w:pPr>
        <w:ind w:firstLine="482"/>
        <w:rPr>
          <w:rFonts w:asciiTheme="minorEastAsia" w:hAnsiTheme="minorEastAsia" w:eastAsiaTheme="minorEastAsia"/>
        </w:rPr>
      </w:pPr>
      <w:r>
        <w:rPr>
          <w:rFonts w:hint="eastAsia" w:asciiTheme="minorEastAsia" w:hAnsiTheme="minorEastAsia" w:eastAsiaTheme="minorEastAsia"/>
        </w:rPr>
        <w:t>10.能利用本专业理论和技能解决岗位的技术问题。</w:t>
      </w:r>
    </w:p>
    <w:p>
      <w:pPr>
        <w:ind w:firstLine="482"/>
        <w:rPr>
          <w:rFonts w:asciiTheme="minorEastAsia" w:hAnsiTheme="minorEastAsia" w:eastAsiaTheme="minorEastAsia"/>
        </w:rPr>
      </w:pPr>
      <w:r>
        <w:rPr>
          <w:rFonts w:hint="eastAsia" w:asciiTheme="minorEastAsia" w:hAnsiTheme="minorEastAsia" w:eastAsiaTheme="minorEastAsia"/>
        </w:rPr>
        <w:t>11.具有事故防范、评价、救助和处理能力。</w:t>
      </w:r>
    </w:p>
    <w:p>
      <w:pPr>
        <w:ind w:firstLine="482"/>
        <w:rPr>
          <w:rFonts w:asciiTheme="minorEastAsia" w:hAnsiTheme="minorEastAsia" w:eastAsiaTheme="minorEastAsia"/>
        </w:rPr>
      </w:pPr>
      <w:r>
        <w:rPr>
          <w:rFonts w:hint="eastAsia" w:asciiTheme="minorEastAsia" w:hAnsiTheme="minorEastAsia" w:eastAsiaTheme="minorEastAsia"/>
        </w:rPr>
        <w:t>12.具有获取及应用本专业新设备、新技术、新工艺等信息的能力。</w:t>
      </w:r>
    </w:p>
    <w:p>
      <w:pPr>
        <w:ind w:firstLine="482"/>
        <w:rPr>
          <w:rFonts w:asciiTheme="minorEastAsia" w:hAnsiTheme="minorEastAsia" w:eastAsiaTheme="minorEastAsia"/>
        </w:rPr>
      </w:pPr>
      <w:r>
        <w:rPr>
          <w:rFonts w:hint="eastAsia" w:asciiTheme="minorEastAsia" w:hAnsiTheme="minorEastAsia" w:eastAsiaTheme="minorEastAsia"/>
        </w:rPr>
        <w:t>13.能够熟知所用药物的药性。</w:t>
      </w:r>
    </w:p>
    <w:p>
      <w:pPr>
        <w:ind w:firstLine="482"/>
        <w:rPr>
          <w:rFonts w:asciiTheme="minorEastAsia" w:hAnsiTheme="minorEastAsia" w:eastAsiaTheme="minorEastAsia"/>
        </w:rPr>
      </w:pPr>
      <w:r>
        <w:rPr>
          <w:rFonts w:hint="eastAsia" w:asciiTheme="minorEastAsia" w:hAnsiTheme="minorEastAsia" w:eastAsiaTheme="minorEastAsia"/>
        </w:rPr>
        <w:t>在素质要求方面：</w:t>
      </w:r>
    </w:p>
    <w:p>
      <w:pPr>
        <w:ind w:firstLine="482"/>
      </w:pPr>
      <w:r>
        <w:rPr>
          <w:rFonts w:hint="eastAsia"/>
        </w:rPr>
        <w:t>1.思想道德：热爱祖国，拥护党的基本路线、方针政策。有民主和法制观念和公民意识，遵纪守法；有理想，有道德，有文化，有纪律；有为人民服务，艰苦奋斗，实干创业的精神；树立科学的世界观和方法论，有正确的人生观和世界观、价值观；具有良好的团队精神，善于团结合作；具有良好的社会公德和职业道德，爱职、爱岗、敬业。</w:t>
      </w:r>
    </w:p>
    <w:p>
      <w:pPr>
        <w:ind w:firstLine="482"/>
      </w:pPr>
      <w:r>
        <w:rPr>
          <w:rFonts w:hint="eastAsia"/>
        </w:rPr>
        <w:t>2.科学文化：具有高职人才必备的科学素养和文化修养；有联系实际、实事求是的科学态度；具有遵章守纪、按章办事的习惯；尊重自己、尊重他人、尊重科学；具有较强的自学能力、知识自我更新能力和适应岗位变化的能力。</w:t>
      </w:r>
    </w:p>
    <w:p>
      <w:pPr>
        <w:ind w:firstLine="482"/>
      </w:pPr>
      <w:r>
        <w:rPr>
          <w:rFonts w:hint="eastAsia"/>
        </w:rPr>
        <w:t>3.专业：具有本专业必需的专业素养、热爱专业工作；对岗位工作任务具有较强领悟性；能迅速分析、解决本专业工程实际问题；能创造性地开展专业工作。</w:t>
      </w:r>
    </w:p>
    <w:p>
      <w:pPr>
        <w:ind w:firstLine="482"/>
      </w:pPr>
      <w:r>
        <w:rPr>
          <w:rFonts w:hint="eastAsia"/>
        </w:rPr>
        <w:t xml:space="preserve">4.身体心理：具备自我认识自我锻炼的意识，具备良好的生活习惯；掌握科学锻炼身体的基本技能，达到国家大学生体育合格标准，身体健康；热爱生活、热爱集体、热爱工作、与人相处好。 </w:t>
      </w:r>
    </w:p>
    <w:p>
      <w:pPr>
        <w:ind w:firstLine="482"/>
      </w:pPr>
      <w:r>
        <w:rPr>
          <w:rFonts w:hint="eastAsia"/>
        </w:rPr>
        <w:t>5.创新创业：通过认知医药行业企业的特点、强化医药行业职业道德规范的重要性，正确教育和引导学生职业生涯发展的自主意识，促使大学生理性地规划自身未来，具有创新创业能力。</w:t>
      </w:r>
    </w:p>
    <w:p>
      <w:pPr>
        <w:pStyle w:val="2"/>
        <w:ind w:firstLine="564"/>
      </w:pPr>
      <w:bookmarkStart w:id="35" w:name="_Toc90889460"/>
      <w:bookmarkStart w:id="36" w:name="_Toc90896272"/>
      <w:bookmarkStart w:id="37" w:name="_Toc360873449"/>
      <w:bookmarkStart w:id="38" w:name="_Toc433837635"/>
      <w:r>
        <w:rPr>
          <w:rFonts w:hint="eastAsia"/>
        </w:rPr>
        <w:t>六、课程设置与要求</w:t>
      </w:r>
      <w:bookmarkEnd w:id="35"/>
      <w:bookmarkEnd w:id="36"/>
    </w:p>
    <w:p>
      <w:pPr>
        <w:pStyle w:val="3"/>
        <w:ind w:firstLine="564"/>
      </w:pPr>
      <w:bookmarkStart w:id="39" w:name="_Toc90889461"/>
      <w:bookmarkStart w:id="40" w:name="_Toc90896273"/>
      <w:r>
        <w:t>（一）公共基础课程</w:t>
      </w:r>
      <w:bookmarkEnd w:id="39"/>
      <w:bookmarkEnd w:id="40"/>
    </w:p>
    <w:p>
      <w:pPr>
        <w:ind w:firstLine="482"/>
      </w:pPr>
      <w:r>
        <w:rPr>
          <w:rFonts w:hint="eastAsia"/>
        </w:rPr>
        <w:t>1.军事</w:t>
      </w:r>
      <w:r>
        <w:t>理论</w:t>
      </w:r>
    </w:p>
    <w:p>
      <w:pPr>
        <w:ind w:firstLine="482"/>
      </w:pPr>
      <w:r>
        <w:rPr>
          <w:rFonts w:hint="eastAsia"/>
        </w:rPr>
        <w:t>该课程是面向本专业开设的一门公共基础必修课。</w:t>
      </w:r>
      <w:r>
        <w:t>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通过军事课教学，让学生了解掌握军事基础知识和基本军事技能，增强国防观念、国家安全意识和忧患危机意识，弘扬爱国主义精神、传承红色基因、提高学生综合国防素质。</w:t>
      </w:r>
    </w:p>
    <w:p>
      <w:pPr>
        <w:ind w:firstLine="482"/>
      </w:pPr>
      <w:r>
        <w:rPr>
          <w:rFonts w:hint="eastAsia"/>
        </w:rPr>
        <w:t xml:space="preserve">2.思想道德与法治 </w:t>
      </w:r>
    </w:p>
    <w:p>
      <w:pPr>
        <w:ind w:firstLine="482"/>
      </w:pPr>
      <w:r>
        <w:rPr>
          <w:rFonts w:hint="eastAsia"/>
        </w:rPr>
        <w:t>该课程是面向本专业开设的一门公共基础必修课。是</w:t>
      </w:r>
      <w:r>
        <w:t>一门融思想性、政治性、科学性、理论性、实践性于一体的思想政治理论课。其针对大学生成长过程中面临的思想道德和法律问题，开展马克思主义的世界观、人生观、价值观、道德观、法治观教育，引导大学生提高思想道德素质和法治素养，成长为自觉担当民族复兴大任的时代新人。学习本课程，有助于大学生领悟人生真谛，坚定理想信念，践行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地行使法律权利，履行法律义务，做到尊法学法守法用法，加强廉洁修身，自觉抵制腐败，从而具备优秀的思想道德素质和法治素养。</w:t>
      </w:r>
    </w:p>
    <w:p>
      <w:pPr>
        <w:ind w:firstLine="482"/>
      </w:pPr>
      <w:r>
        <w:t>3</w:t>
      </w:r>
      <w:r>
        <w:rPr>
          <w:rFonts w:hint="eastAsia"/>
        </w:rPr>
        <w:t>.毛泽东思想和中国特色社会主义理论体系概论</w:t>
      </w:r>
    </w:p>
    <w:p>
      <w:pPr>
        <w:ind w:firstLine="482"/>
      </w:pPr>
      <w:r>
        <w:rPr>
          <w:rFonts w:hint="eastAsia"/>
        </w:rPr>
        <w:t>该课程是面向本专业开设的一门公共基础必修课。</w:t>
      </w:r>
      <w:r>
        <w:t>课程的基本内容是全面论述毛泽东思想和中国特色社会主义理论体系的科学内涵、产生形成发展过程、科学体系、历史地位、指导意义、基本观点以及中国特色社会主义建设的路线方针政策目的在于使学生了解马克思主义中国化的过程，了解马克思主义与时俱进的理论品质，树立建设中国特色社会主义的坚定信心，培养运用马克思主义的立场、观点、方法分析和解决问题的能力，增强执行党的基本路线和基本纲领的自觉性和坚定性。确立建设中国特色社会主义的共同理想，增强社会责任感与历史使命感，积极投身全面建设小康社会的伟大实践。</w:t>
      </w:r>
    </w:p>
    <w:p>
      <w:pPr>
        <w:ind w:firstLine="482"/>
      </w:pPr>
      <w:r>
        <w:rPr>
          <w:rFonts w:hint="eastAsia"/>
        </w:rPr>
        <w:t>4.习近平新时代中国特色社会主义思想概论</w:t>
      </w:r>
    </w:p>
    <w:p>
      <w:pPr>
        <w:ind w:firstLine="482"/>
      </w:pPr>
      <w:r>
        <w:rPr>
          <w:rFonts w:hint="eastAsia"/>
        </w:rPr>
        <w:t>该课程是面向本专业开设的一门公共基础必修课，是一门融思想性、政治性、科学性、理论性、于一体的思想政治理论课。旨在引导大学生从整体上掌握习近平新时代中国特色社会主义思想的实践逻辑、历史逻辑与理论逻辑，理解习近平新时代中国特色社会主义思想是以习近平同志为核心的党中央坚持解放思想、实事求是、与时俱进，坚持辩证唯物主义和历史唯物主义，紧密结合新的时代条件和实践要求，以全新的视野深化对共产党执政规律、社会主义建设规律、人类社会发展规律的认识，进行艰辛理论探索，取得重大理论创新的最新成果。</w:t>
      </w:r>
    </w:p>
    <w:p>
      <w:pPr>
        <w:ind w:firstLine="482"/>
      </w:pPr>
      <w:r>
        <w:t>5.</w:t>
      </w:r>
      <w:r>
        <w:rPr>
          <w:rFonts w:hint="eastAsia"/>
        </w:rPr>
        <w:t>形势与政策</w:t>
      </w:r>
    </w:p>
    <w:p>
      <w:pPr>
        <w:ind w:firstLine="482"/>
      </w:pPr>
      <w:r>
        <w:rPr>
          <w:rFonts w:hint="eastAsia"/>
        </w:rPr>
        <w:t>该课程是面向本专业开设的一门公共基础必修课。</w:t>
      </w:r>
      <w:r>
        <w:t>本课程以马列主义、毛泽东思想和中国特色社会主义理论</w:t>
      </w:r>
      <w:r>
        <w:rPr>
          <w:rFonts w:hint="eastAsia"/>
        </w:rPr>
        <w:t>、习近平新时代中国特色社会主义思想</w:t>
      </w:r>
      <w:r>
        <w:t>为指导，紧密结合国际形势，特别是我国改革开放和社会主义现代化建设的形势，进行马克思主义形势观、政策观教育。</w:t>
      </w:r>
      <w:r>
        <w:rPr>
          <w:rFonts w:hint="eastAsia"/>
        </w:rPr>
        <w:t>使</w:t>
      </w:r>
      <w:r>
        <w:t>学生能够了解国内外重大时事，全面认识和正确理解党的基本路线、重大方针和政策，从而正确认识党和国家面临的形势和任务，理解和拥护党的路线、方针和政策，增强实现改革开放和社会主义现代化建设宏伟目标的信心和社会责任感，提高投身于建设社会主义事业的自觉性，增强爱国主义责任感和使命感，明确自身的人生定位和奋斗目标。</w:t>
      </w:r>
    </w:p>
    <w:p>
      <w:pPr>
        <w:ind w:firstLine="482"/>
      </w:pPr>
      <w:r>
        <w:t>6</w:t>
      </w:r>
      <w:r>
        <w:rPr>
          <w:rFonts w:hint="eastAsia"/>
        </w:rPr>
        <w:t>.</w:t>
      </w:r>
      <w:r>
        <w:t>英语 </w:t>
      </w:r>
    </w:p>
    <w:p>
      <w:pPr>
        <w:ind w:firstLine="482"/>
      </w:pPr>
      <w:r>
        <w:rPr>
          <w:rFonts w:hint="eastAsia"/>
        </w:rPr>
        <w:t>该课程是面向本专业开设的一门公共基础必修课。</w:t>
      </w:r>
      <w:r>
        <w:t>高职高专英语的教学目的在于学习英语语言知识与应用技能，培养学生的英语综合应用能力，使他们能以英语为工具有效地进行口头和书面的交流；同时增强其自主学习能力，提高综合文化素养，以适应用人单位的需要。通过学习，应掌握3500左右的词汇及相关词组，且能运用基础的语法知识。能读懂通知、简单的介绍、广告、招贴、公务信函，以及报刊文章和书籍，及通俗易懂的英文书刊或报纸。能听懂一般性谈话或讨论。能写便条、信函、工作备忘录、通知、申请、声明，以及一般描述性、叙述性和说明性文章。能够依据简单的图表或图片，写出相关的短文。在工作、生活中，利用英语，不仅交流具体信息也可以交流思想和观点。</w:t>
      </w:r>
    </w:p>
    <w:p>
      <w:pPr>
        <w:ind w:firstLine="482"/>
      </w:pPr>
      <w:r>
        <w:rPr>
          <w:rFonts w:hint="eastAsia"/>
        </w:rPr>
        <w:t>7.劳动教育</w:t>
      </w:r>
    </w:p>
    <w:p>
      <w:pPr>
        <w:ind w:firstLine="482"/>
      </w:pPr>
      <w:r>
        <w:rPr>
          <w:rFonts w:hint="eastAsia"/>
        </w:rPr>
        <w:t>该课程是面向本专业开设的一门公共基础必修课。本课程坚持以马克思主义劳动观为指导，坚持以习近平总书记关于劳动问题的重要论述作为指导思想，深入贯彻落实习近平总书记在全国教育大会上的重要讲话精神，培育和践行社会主义核心价值观，落实立德树人根本任务。通过对劳动的基本理论学习和实践，让学生深刻认识人类劳动实践的创造本质，树立正确的劳动价值观，养成良好的劳动习惯，积累普遍性劳动知识，培养应用性劳动技能。结合我院专业培养实际，增强学生职业荣誉感和责任感，使学生成长为新时代生物医药行业的技能技术人才。</w:t>
      </w:r>
    </w:p>
    <w:p>
      <w:pPr>
        <w:ind w:firstLine="482"/>
      </w:pPr>
      <w:r>
        <w:rPr>
          <w:rFonts w:hint="eastAsia"/>
        </w:rPr>
        <w:t>8.信息技术</w:t>
      </w:r>
      <w:r>
        <w:t> </w:t>
      </w:r>
      <w:r>
        <w:rPr>
          <w:rFonts w:hint="eastAsia"/>
        </w:rPr>
        <w:t xml:space="preserve"> </w:t>
      </w:r>
    </w:p>
    <w:p>
      <w:pPr>
        <w:ind w:firstLine="482"/>
      </w:pPr>
      <w:r>
        <w:rPr>
          <w:rFonts w:hint="eastAsia"/>
        </w:rPr>
        <w:t>该课程是面向本专业开设的一门公共基础必修课。</w:t>
      </w:r>
      <w:r>
        <w:t>主要使学生熟悉计算机基础知识、计算机操作系统、Office办公软件，形成使用计算机进行文字处理、数据处理、信息获取三种能力；解决学生在专业、职业领域中自觉应用计算机进行自主学习和工作的问题；培养学生遵守信息技术的相关法律和法规，培养学生爱国主义情操、敬业精神、诚信意识、善意待人的良好职业素质。</w:t>
      </w:r>
    </w:p>
    <w:p>
      <w:pPr>
        <w:ind w:firstLine="482"/>
      </w:pPr>
      <w:r>
        <w:rPr>
          <w:rFonts w:hint="eastAsia"/>
        </w:rPr>
        <w:t>9.</w:t>
      </w:r>
      <w:r>
        <w:t>职业</w:t>
      </w:r>
      <w:r>
        <w:rPr>
          <w:rFonts w:hint="eastAsia"/>
        </w:rPr>
        <w:t>发展与就业指导</w:t>
      </w:r>
      <w:r>
        <w:t> </w:t>
      </w:r>
    </w:p>
    <w:p>
      <w:pPr>
        <w:ind w:firstLine="482"/>
      </w:pPr>
      <w:r>
        <w:rPr>
          <w:rFonts w:hint="eastAsia"/>
        </w:rPr>
        <w:t>该课程是面向本专业开设的一门公共基础必修课</w:t>
      </w:r>
      <w:r>
        <w:t>。职业生涯规划是</w:t>
      </w:r>
      <w:r>
        <w:rPr>
          <w:rFonts w:hint="eastAsia"/>
        </w:rPr>
        <w:t>本专业</w:t>
      </w:r>
      <w:r>
        <w:t>的一门综合素质课程，课程主要对学生进行职业生涯教育和职业理想教育。其任务是引导学生树立正确的职业观念和职业理想，学会根据社会需要和自身特点进行职业生涯规划，并以此规范和调整自己的行为，为顺利就业、创业创造条件。通过对本课程的学习使大学生掌握职业生涯规划的基础知识和常用方法，树立正确的职业理想和职业观、择业观、创业观以及成才观，形成职业生涯规划的能力，增强职业生涯规划意识，提高职业生涯规划能力。</w:t>
      </w:r>
    </w:p>
    <w:p>
      <w:pPr>
        <w:ind w:firstLine="482"/>
      </w:pPr>
      <w:r>
        <w:t>1</w:t>
      </w:r>
      <w:r>
        <w:rPr>
          <w:rFonts w:hint="eastAsia"/>
        </w:rPr>
        <w:t>0.</w:t>
      </w:r>
      <w:r>
        <w:t>心理健康</w:t>
      </w:r>
      <w:r>
        <w:rPr>
          <w:rFonts w:hint="eastAsia"/>
        </w:rPr>
        <w:t>与职业生涯</w:t>
      </w:r>
      <w:r>
        <w:t> </w:t>
      </w:r>
      <w:r>
        <w:rPr>
          <w:rFonts w:hint="eastAsia"/>
        </w:rPr>
        <w:t xml:space="preserve"> </w:t>
      </w:r>
    </w:p>
    <w:p>
      <w:pPr>
        <w:ind w:firstLine="482"/>
      </w:pPr>
      <w:r>
        <w:rPr>
          <w:rFonts w:hint="eastAsia"/>
        </w:rPr>
        <w:t>该课程是面向本专业开设的一门公共基础必修课，</w:t>
      </w:r>
      <w:r>
        <w:t>是为了适应大学生自我成长的迫切需要而开设的课程。旨在使学生掌握心理健康的基本知识，及时给予大学生积极的心理指导，帮助大学生正确认识自我、完善自我、发展自我、优化心理素质，提高心理水平，促进全面发展。通过对本课程的学习使大学生掌握心理发展特点以及影响因素，获得心理健康的基本概念和基础知识。初步形成多种视角的心理学观点，能对自己和他人的心理特点进行一定的分析；掌握一些基本的心理健康知识，并能将其与日常的学习、工作和生活紧密联系，能有效的自我调节。同时，在教学中通过互动活动，培养学生动脑、动手的能力，提高大学生的综合素质。</w:t>
      </w:r>
    </w:p>
    <w:p>
      <w:pPr>
        <w:ind w:firstLine="482"/>
      </w:pPr>
      <w:r>
        <w:t>1</w:t>
      </w:r>
      <w:r>
        <w:rPr>
          <w:rFonts w:hint="eastAsia"/>
        </w:rPr>
        <w:t>1.医药行业安全规范</w:t>
      </w:r>
    </w:p>
    <w:p>
      <w:pPr>
        <w:ind w:firstLine="482"/>
      </w:pPr>
      <w:r>
        <w:rPr>
          <w:rFonts w:hint="eastAsia"/>
        </w:rPr>
        <w:t xml:space="preserve">该课程是面向本专业开设的一门公共基础必修课，包括医药行业安全生产管理、医药行业电气安全管理、医药行业健康保护管理、医药行业网络安全管理与维护。通过本课程的学习可以为学生进入企业掌握安全生产技术奠定基础，同时也是提高安全意识、遇到安全问题进行生产设备保护、自救、互救等实施行动的技能型课程。本课程为后续的实验、实训及顶岗实习等实践类课程奠定基础。同时培养学生爱岗敬业、遵守医药行业职业道德，维护安全的职业精神。 </w:t>
      </w:r>
    </w:p>
    <w:p>
      <w:pPr>
        <w:ind w:firstLine="482"/>
      </w:pPr>
      <w:r>
        <w:rPr>
          <w:rFonts w:hint="eastAsia"/>
        </w:rPr>
        <w:t>12.宪法与法治中国</w:t>
      </w:r>
    </w:p>
    <w:p>
      <w:pPr>
        <w:ind w:firstLine="482"/>
      </w:pPr>
      <w:r>
        <w:rPr>
          <w:rFonts w:hint="eastAsia"/>
        </w:rPr>
        <w:t>该课程是面向本专业开设的一门公共基础限定选修课。本课程在</w:t>
      </w:r>
      <w:r>
        <w:t>基于我国现行宪法实施</w:t>
      </w:r>
      <w:r>
        <w:rPr>
          <w:rFonts w:hint="eastAsia"/>
        </w:rPr>
        <w:t>以</w:t>
      </w:r>
      <w:r>
        <w:t>来取得的各项成就和经验，从宪法学的角度进行了解读，比较系统地论述了法治中国与法治国家、依法治国与依宪治国、依法执政与依宪执政、法治思维与宪法思维等概念之间的价值关系和制度联系</w:t>
      </w:r>
      <w:r>
        <w:rPr>
          <w:rFonts w:hint="eastAsia"/>
        </w:rPr>
        <w:t>。</w:t>
      </w:r>
    </w:p>
    <w:p>
      <w:pPr>
        <w:ind w:firstLine="482"/>
      </w:pPr>
      <w:r>
        <w:rPr>
          <w:rFonts w:hint="eastAsia"/>
        </w:rPr>
        <w:t>13.党史国史</w:t>
      </w:r>
    </w:p>
    <w:p>
      <w:pPr>
        <w:ind w:firstLine="482"/>
      </w:pPr>
      <w:r>
        <w:rPr>
          <w:rFonts w:hint="eastAsia"/>
        </w:rPr>
        <w:t>该课程是面向本专业开设的一门公共基础限定选修课。通过本课程的学习，使学生较好地对当代中国历史的内容作系统分析，熟悉中国共产党发展的历史，掌握马克思主义与中国革命、建设和改革实践相结合形成的毛泽东思想、邓小平理论、“三个代表”重要思想、科学发展观和习近平新时代中国特色社会主义思想，运用所学党史、国史知识以及与此密切相关的世界历史知识，进一步认识没有共产党就没有新中国，只有社会主义才能救中国。通过教学，使学生逐步提高联系实际，分析问题、解决问题的能力。</w:t>
      </w:r>
    </w:p>
    <w:p>
      <w:pPr>
        <w:ind w:firstLine="482"/>
      </w:pPr>
      <w:r>
        <w:rPr>
          <w:rFonts w:hint="eastAsia"/>
        </w:rPr>
        <w:t>14．中华优秀传统</w:t>
      </w:r>
      <w:r>
        <w:t>文化</w:t>
      </w:r>
    </w:p>
    <w:p>
      <w:pPr>
        <w:ind w:firstLine="482"/>
      </w:pPr>
      <w:r>
        <w:rPr>
          <w:rFonts w:hint="eastAsia"/>
        </w:rPr>
        <w:t>该课程是面向本专业开设的一门公共基础限定选修课，具有独特的德育、无可替代的国情教育和弘扬和培育民族精神的重要功能。高等职业院校开设课程是当前进行素质教育、思想政治教育、精神文明教育,培养全民族人文素养、建设中华民族共同精神家园的时代要求。作为</w:t>
      </w:r>
      <w:r>
        <w:t>全校</w:t>
      </w:r>
      <w:r>
        <w:rPr>
          <w:rFonts w:hint="eastAsia"/>
        </w:rPr>
        <w:t>公共基础课</w:t>
      </w:r>
      <w:r>
        <w:t>，</w:t>
      </w:r>
      <w:r>
        <w:rPr>
          <w:rFonts w:hint="eastAsia"/>
        </w:rPr>
        <w:t>本门</w:t>
      </w:r>
      <w:r>
        <w:t>课程主要培养</w:t>
      </w:r>
      <w:r>
        <w:rPr>
          <w:rFonts w:hint="eastAsia"/>
        </w:rPr>
        <w:t>学生正确思考和看待当前国内外不断兴起的中国传统文化热和“国学热”,引导学生理性认识我国国情,不虚美、不隐恶,坚持走“有中国特色社会主义”道路。</w:t>
      </w:r>
    </w:p>
    <w:p>
      <w:pPr>
        <w:ind w:firstLine="482"/>
      </w:pPr>
      <w:r>
        <w:rPr>
          <w:rFonts w:hint="eastAsia"/>
        </w:rPr>
        <w:t>15.大学语文</w:t>
      </w:r>
    </w:p>
    <w:p>
      <w:pPr>
        <w:ind w:firstLine="482"/>
      </w:pPr>
      <w:r>
        <w:rPr>
          <w:rFonts w:hint="eastAsia"/>
        </w:rPr>
        <w:t>该课程是面向本专业开设的一门公共基础限定选修课，其开设目的在于培养大学生的基本人文素养，以适应日常交流及专业学习的需要。作为一门公共基础课，《大学语文》旨在帮助学生学习正确运用规范的现代汉语进行交流，使学生通过学习古今中外的名家名作，了解语言文化的实用性、多态性和丰富性，从而继承中华民族的优秀文化传统，进而培养高尚的思想品质和道德情操。</w:t>
      </w:r>
    </w:p>
    <w:p>
      <w:pPr>
        <w:ind w:firstLine="482"/>
        <w:rPr>
          <w:color w:val="FF0000"/>
        </w:rPr>
      </w:pPr>
      <w:r>
        <w:rPr>
          <w:rFonts w:hint="eastAsia"/>
          <w:color w:val="FF0000"/>
        </w:rPr>
        <w:t>16.高等数学</w:t>
      </w:r>
    </w:p>
    <w:p>
      <w:pPr>
        <w:ind w:firstLine="482"/>
        <w:rPr>
          <w:color w:val="FF0000"/>
        </w:rPr>
      </w:pPr>
      <w:r>
        <w:rPr>
          <w:rFonts w:hint="eastAsia"/>
          <w:color w:val="FF0000"/>
        </w:rPr>
        <w:t>该课程是面向本专业开设的一门公共基础限定选修课，是提高学生素质、培养学生理性思维的重要载体，是学习各门专业课程的重要基础。通过本课程的学习，使学生掌握必要的基础理论和常用的计算方法，使学生学会运用数学方法解决实际问题的能力。通过该课程的学习，逐步培养学生的抽象思维能力、概括问题能力、逻辑推理能力、较熟练的运算能力、分析问题和解决问题能力，为后续课程的学习奠定必要的数学基础。</w:t>
      </w:r>
    </w:p>
    <w:p>
      <w:pPr>
        <w:ind w:firstLine="482"/>
      </w:pPr>
      <w:r>
        <w:rPr>
          <w:rFonts w:hint="eastAsia"/>
        </w:rPr>
        <w:t>17.创新创业</w:t>
      </w:r>
      <w:r>
        <w:t>教育</w:t>
      </w:r>
    </w:p>
    <w:p>
      <w:pPr>
        <w:ind w:firstLine="482"/>
      </w:pPr>
      <w:r>
        <w:rPr>
          <w:rFonts w:hint="eastAsia"/>
        </w:rPr>
        <w:t>该课程是面向本专业开设的一门公共基础限定选修课。通过该门课程的学习，使学生掌握创新理论基础与基本创新方法，为学生在创新实践中提供理论基础；培养学生的创新精神和实践能力，并激发学生独立思考和创新的意识、培养学生的科学精神和创新思维习惯；为学生在以后的学习工作实践中埋下创新的种子、植入创新的基因，最终达到提高学生综合素质的目的。</w:t>
      </w:r>
    </w:p>
    <w:p>
      <w:pPr>
        <w:ind w:firstLine="482"/>
      </w:pPr>
      <w:r>
        <w:t>1</w:t>
      </w:r>
      <w:r>
        <w:rPr>
          <w:rFonts w:hint="eastAsia"/>
        </w:rPr>
        <w:t>8.艺术欣赏</w:t>
      </w:r>
    </w:p>
    <w:p>
      <w:pPr>
        <w:ind w:firstLine="482"/>
      </w:pPr>
      <w:r>
        <w:rPr>
          <w:rFonts w:hint="eastAsia"/>
        </w:rPr>
        <w:t>该课程是面向本专业开设的一门公共基础限定选修课。本课程坚持以马克思主义为指导，贯彻理论联系实际原则，主要通过艺术作品的赏析，给学生讲授初步的艺术知识，培养他们的艺术欣赏能力并提高他们的审美素质。进一步从理论的角度了解音乐及美术作品风格特征和发展脉络，理性地掌握国粹艺术的基本规律，增强学生认知艺术的理性成分，使得艺术欣赏更具专业特点，更有针对性。在课程教学中始终贯穿与突出民族艺术主线，对学生进行本民族文化自信教育，使学生灵活掌握音乐与美术作品的发展演变。通过对不同时期、不同文化背景下音乐及美术作品的理解,强化学生对自我民族艺术兴趣的熏陶,培养学生对事物的抽象概括和理性认知能力。</w:t>
      </w:r>
    </w:p>
    <w:p>
      <w:pPr>
        <w:pStyle w:val="3"/>
        <w:ind w:firstLine="564"/>
      </w:pPr>
      <w:bookmarkStart w:id="41" w:name="_Toc90889465"/>
      <w:bookmarkStart w:id="42" w:name="_Toc90896277"/>
      <w:bookmarkStart w:id="43" w:name="_Toc433837638"/>
      <w:bookmarkStart w:id="44" w:name="_Toc360873452"/>
      <w:r>
        <w:rPr>
          <w:rFonts w:hint="eastAsia"/>
        </w:rPr>
        <w:t>（二）专业核心课程</w:t>
      </w:r>
      <w:bookmarkEnd w:id="41"/>
      <w:bookmarkEnd w:id="42"/>
    </w:p>
    <w:bookmarkEnd w:id="43"/>
    <w:bookmarkEnd w:id="44"/>
    <w:p>
      <w:pPr>
        <w:ind w:firstLine="482"/>
      </w:pPr>
      <w:r>
        <w:rPr>
          <w:rFonts w:hint="eastAsia"/>
        </w:rPr>
        <w:t>1.医药行业卫生学基础</w:t>
      </w:r>
    </w:p>
    <w:p>
      <w:pPr>
        <w:ind w:firstLine="482"/>
      </w:pPr>
      <w:r>
        <w:rPr>
          <w:rFonts w:hint="eastAsia"/>
        </w:rPr>
        <w:t>掌握微生物基础知识、药品生产过程中卫生管理知识和要求、药品制造车间的洁净区作业知识以及医药行业常用的消毒灭菌技术作用，解决GMP对制药卫生的具体要求和基本技能并具备药品生产企业的生产和卫生管理等能力；能运用消毒和灭菌技术对制药环境、车间、工艺、个人卫生进行管理的能力。</w:t>
      </w:r>
    </w:p>
    <w:p>
      <w:pPr>
        <w:ind w:firstLine="482"/>
      </w:pPr>
      <w:r>
        <w:rPr>
          <w:rFonts w:hint="eastAsia"/>
        </w:rPr>
        <w:t>2.细胞培养技术</w:t>
      </w:r>
    </w:p>
    <w:p>
      <w:pPr>
        <w:ind w:firstLine="482"/>
      </w:pPr>
      <w:r>
        <w:rPr>
          <w:rFonts w:hint="eastAsia"/>
        </w:rPr>
        <w:t>了解动物细胞培养的基础知识；掌握动物细胞培养的基本技能；能进行简单的基础的动物细胞培养；会使用相关仪器设备的专业技能。</w:t>
      </w:r>
    </w:p>
    <w:p>
      <w:pPr>
        <w:ind w:firstLine="482"/>
      </w:pPr>
      <w:r>
        <w:rPr>
          <w:rFonts w:hint="eastAsia"/>
        </w:rPr>
        <w:t>3.基因操作技术</w:t>
      </w:r>
    </w:p>
    <w:p>
      <w:pPr>
        <w:ind w:firstLine="482"/>
      </w:pPr>
      <w:r>
        <w:rPr>
          <w:rFonts w:hint="eastAsia"/>
        </w:rPr>
        <w:t>本课程主要介绍核酸的性质和结构；遗传物质复制、表达及调控；基因工程的主要技术，包括工具酶、载体、基因分离、DNA体外重组和外源基因导入等。要求学生掌握分子生物学的基础知识，并对该学科的现状有一个初步的了解。</w:t>
      </w:r>
    </w:p>
    <w:p>
      <w:pPr>
        <w:ind w:firstLine="482"/>
      </w:pPr>
      <w:r>
        <w:rPr>
          <w:rFonts w:hint="eastAsia"/>
        </w:rPr>
        <w:t>4.发酵制药技术</w:t>
      </w:r>
    </w:p>
    <w:p>
      <w:pPr>
        <w:ind w:firstLine="482"/>
      </w:pPr>
      <w:r>
        <w:rPr>
          <w:rFonts w:hint="eastAsia"/>
        </w:rPr>
        <w:t>掌握微生物发酵制药过程中的培养基制备、菌种选育、种子制备和保藏以及生物合成、化学提炼和检定等，发酵工程药品生产各环节的基本原理和基本技能，掌握典型发酵药品的结构、理化性质及生产工艺过程，为学生进入生产岗位打下扎实基础。</w:t>
      </w:r>
    </w:p>
    <w:p>
      <w:pPr>
        <w:ind w:firstLine="482"/>
      </w:pPr>
      <w:r>
        <w:rPr>
          <w:rFonts w:hint="eastAsia"/>
        </w:rPr>
        <w:t>5.分离纯化技术</w:t>
      </w:r>
    </w:p>
    <w:p>
      <w:pPr>
        <w:ind w:firstLine="482"/>
      </w:pPr>
      <w:r>
        <w:rPr>
          <w:rFonts w:hint="eastAsia"/>
        </w:rPr>
        <w:t>介绍药物生产中常用的分离纯化技术的原理、工艺、特点和应用，使学生掌握现代生物制药的基本知识,基本理论,基本技能。</w:t>
      </w:r>
    </w:p>
    <w:p>
      <w:pPr>
        <w:ind w:firstLine="482"/>
      </w:pPr>
      <w:r>
        <w:rPr>
          <w:rFonts w:hint="eastAsia"/>
        </w:rPr>
        <w:t>6.</w:t>
      </w:r>
      <w:r>
        <w:t>制剂制造岗位</w:t>
      </w:r>
      <w:r>
        <w:rPr>
          <w:rFonts w:hint="eastAsia"/>
        </w:rPr>
        <w:t>综合</w:t>
      </w:r>
      <w:r>
        <w:t>实训</w:t>
      </w:r>
    </w:p>
    <w:p>
      <w:pPr>
        <w:ind w:firstLine="482"/>
      </w:pPr>
      <w:r>
        <w:rPr>
          <w:rFonts w:hint="eastAsia"/>
        </w:rPr>
        <w:t>本课程在生物制药技术三二分段专业人才培养方案中属于技能训练课，主要起到将药物制剂理论知识与实践相结合的作用，解决药物制剂生产知识、技能、素质培养问题。先修课程包括医药行业卫生学基础、医药行业安全规范、生物制药制剂技术。 </w:t>
      </w:r>
    </w:p>
    <w:p>
      <w:pPr>
        <w:ind w:firstLine="482"/>
      </w:pPr>
      <w:r>
        <w:rPr>
          <w:rFonts w:hint="eastAsia"/>
        </w:rPr>
        <w:t>7.</w:t>
      </w:r>
      <w:r>
        <w:t>生物制药岗位综合实训</w:t>
      </w:r>
    </w:p>
    <w:p>
      <w:pPr>
        <w:ind w:firstLine="482"/>
      </w:pPr>
      <w:r>
        <w:t>本课程的实训项目为干扰素生产工艺、生物反应器操作技术。干扰素生产工艺采用干扰素发酵及提取仿真软件的模拟演练，生物反应器操作技术采用小组教学和学生演示。教学要求学生掌握发酵罐源头设备的使用与维护、发酵罐的结构、开机、电极与泵的标定、实消、实消后的操作、火圈接种法、自动补料器的安装、取样放料、清场等技能，保证操作正确，所制备种子符合相应质量标准。及时、准确做好数据记录及整理存档工作，便于做好技术分析。</w:t>
      </w:r>
    </w:p>
    <w:p>
      <w:pPr>
        <w:ind w:firstLine="482"/>
      </w:pPr>
      <w:r>
        <w:rPr>
          <w:rFonts w:hint="eastAsia"/>
        </w:rPr>
        <w:t>8.实验室安全</w:t>
      </w:r>
    </w:p>
    <w:p>
      <w:pPr>
        <w:ind w:firstLine="482"/>
      </w:pPr>
      <w:r>
        <w:rPr>
          <w:rFonts w:hint="eastAsia"/>
        </w:rPr>
        <w:t>本课程主要起到提高学生未来岗位安全意识和生物技术实验室安全防护能力和水平的作用，解决实验室生物安全、辐射安全、操作安全的知识、技能、素质培养问题。</w:t>
      </w:r>
    </w:p>
    <w:p>
      <w:pPr>
        <w:ind w:firstLine="482"/>
      </w:pPr>
      <w:r>
        <w:rPr>
          <w:rFonts w:hint="eastAsia"/>
        </w:rPr>
        <w:t>9.生物药品</w:t>
      </w:r>
    </w:p>
    <w:p>
      <w:pPr>
        <w:ind w:firstLine="482"/>
      </w:pPr>
      <w:r>
        <w:rPr>
          <w:rFonts w:hint="eastAsia"/>
        </w:rPr>
        <w:t>本课程主要对常用生物药品的认识，加深对药典的理解起促进作用，通过本课程的学习，使学生掌握常用生物药品的来源、作用与用途，使用方法与注意事项等，使学生达到从事生物药品生产、经营等岗位所必需的基本要求。该课程内容涵盖了、生物药品的概念与特点、生物药品的分类方法、常用生物药品的使用方法、来源、制剂规格，常用生物药品储藏方法等。理解生物药品使用方法的能力，学生会有能对生物药品进行正确的保存储藏能力。</w:t>
      </w:r>
    </w:p>
    <w:p>
      <w:pPr>
        <w:ind w:firstLine="482"/>
      </w:pPr>
      <w:r>
        <w:rPr>
          <w:rFonts w:hint="eastAsia"/>
        </w:rPr>
        <w:t>10.生物制药设备</w:t>
      </w:r>
    </w:p>
    <w:p>
      <w:pPr>
        <w:ind w:firstLine="482"/>
      </w:pPr>
      <w:r>
        <w:rPr>
          <w:rFonts w:hint="eastAsia"/>
        </w:rPr>
        <w:t>本课程主要起到让学生认知生产线关键设备的原理、结构功能、操作以及验证技术等作用，培养学生具备生物制药 设备工作原理和操作特性的知识，制药设备岗位操作技能以及严谨态度的职业素养。此课程的先修课程主要有有机化学、生物化学、生物要素制剂技术、分子生物学应用技术等，后修课程主要有生物药物分析、生物药品、分离纯化技术等。</w:t>
      </w:r>
    </w:p>
    <w:p>
      <w:pPr>
        <w:ind w:firstLine="482"/>
      </w:pPr>
      <w:r>
        <w:rPr>
          <w:rFonts w:hint="eastAsia"/>
        </w:rPr>
        <w:t>11.化学制药技术</w:t>
      </w:r>
    </w:p>
    <w:p>
      <w:pPr>
        <w:ind w:firstLine="482"/>
      </w:pPr>
      <w:r>
        <w:rPr>
          <w:rFonts w:hint="eastAsia"/>
        </w:rPr>
        <w:t>本课程让学生能够进行化学合成药物工艺路线的选择，进行生产操作和质量控制，为今 后从事药物生产一线的工作奠定良好的基础。先修课程有药用有机化学、药物化学等。</w:t>
      </w:r>
    </w:p>
    <w:p>
      <w:pPr>
        <w:ind w:firstLine="482"/>
      </w:pPr>
      <w:r>
        <w:rPr>
          <w:rFonts w:hint="eastAsia"/>
        </w:rPr>
        <w:t>12.药物研发技术</w:t>
      </w:r>
    </w:p>
    <w:p>
      <w:pPr>
        <w:ind w:firstLine="482"/>
      </w:pPr>
      <w:r>
        <w:rPr>
          <w:rFonts w:hint="eastAsia"/>
        </w:rPr>
        <w:t>本课程要求学生掌握重要药物合成反应的反应机理、反应条件、影响因素与其在药 物合成中的应用;药物合成反应中常用的各种主要反应试剂的性质、特点、应用范围。 使学生掌握常见的有机药物合成反应、反应的影响因素、反应的选择性及其试剂应用。 熟悉新试剂与新方法在合成反应中的发展，具有独立工作的初步能力。</w:t>
      </w:r>
    </w:p>
    <w:p>
      <w:pPr>
        <w:ind w:firstLine="482"/>
      </w:pPr>
      <w:r>
        <w:rPr>
          <w:rFonts w:hint="eastAsia"/>
        </w:rPr>
        <w:t>13.药物安全性评价</w:t>
      </w:r>
    </w:p>
    <w:p>
      <w:pPr>
        <w:ind w:firstLine="482"/>
      </w:pPr>
      <w:r>
        <w:rPr>
          <w:rFonts w:hint="eastAsia"/>
        </w:rPr>
        <w:t>本课程的内容直接关系到药物的安全性问题，具有极其重要的意义，介绍了了常用药物的基本作用、临床应用、安全剂量、不良反应，为学生今后开展药物信息咨询服务、新药评价、药物不良反应监测提供科学依据，为从事药品的生产、经营、管理等实际工作和继续学习奠定基础。</w:t>
      </w:r>
    </w:p>
    <w:bookmarkEnd w:id="37"/>
    <w:bookmarkEnd w:id="38"/>
    <w:p>
      <w:pPr>
        <w:pStyle w:val="2"/>
        <w:ind w:firstLine="564"/>
      </w:pPr>
      <w:bookmarkStart w:id="45" w:name="_Toc76494820"/>
      <w:bookmarkStart w:id="46" w:name="_Toc90889462"/>
      <w:bookmarkStart w:id="47" w:name="_Toc90896274"/>
      <w:r>
        <w:rPr>
          <w:rFonts w:hint="eastAsia"/>
        </w:rPr>
        <w:t>七、教学进程总体安排</w:t>
      </w:r>
      <w:bookmarkEnd w:id="45"/>
      <w:bookmarkEnd w:id="46"/>
      <w:bookmarkEnd w:id="47"/>
    </w:p>
    <w:p>
      <w:pPr>
        <w:pStyle w:val="3"/>
        <w:ind w:firstLine="564"/>
      </w:pPr>
      <w:bookmarkStart w:id="48" w:name="_Toc360873450"/>
      <w:bookmarkStart w:id="49" w:name="_Toc433837636"/>
      <w:bookmarkStart w:id="50" w:name="_Toc76494821"/>
      <w:bookmarkStart w:id="51" w:name="_Toc90889463"/>
      <w:bookmarkStart w:id="52" w:name="_Toc90896275"/>
      <w:r>
        <w:rPr>
          <w:rFonts w:hint="eastAsia"/>
        </w:rPr>
        <w:t>（一）课程体系框架与说明</w:t>
      </w:r>
      <w:bookmarkEnd w:id="48"/>
      <w:bookmarkEnd w:id="49"/>
      <w:bookmarkEnd w:id="50"/>
      <w:bookmarkEnd w:id="51"/>
      <w:bookmarkEnd w:id="52"/>
    </w:p>
    <w:p>
      <w:pPr>
        <w:ind w:firstLine="482"/>
      </w:pPr>
      <w:r>
        <w:rPr>
          <w:rFonts w:hint="eastAsia"/>
        </w:rPr>
        <w:t>本课程体系由职业基础课程、职业技术课程、技能训练课、毕业环节、选修课等五个部分组成。职业基础课程着眼于学生的职业生涯和可持续发展，贯穿于整个人才培养全过程；职业技术课程包括专业核心课程和专业支撑课程两部分，其中专业核心课程以工学结合的课程为主；选修课程主要是针对业务领域的拓展、新技术应用或自主创业需具备的知识。</w:t>
      </w:r>
    </w:p>
    <w:p>
      <w:pPr>
        <w:ind w:firstLine="482"/>
      </w:pPr>
      <w:r>
        <w:rPr>
          <w:rFonts w:hint="eastAsia"/>
        </w:rPr>
        <w:t>生物制药技术三二分段专业课程体系中共有四类课程。每模块的课程门数、学分、学时比例见生物制药技术三二分段专业课程教学进程表。</w:t>
      </w:r>
    </w:p>
    <w:p>
      <w:pPr>
        <w:ind w:firstLine="482"/>
      </w:pPr>
      <w:r>
        <w:rPr>
          <w:rFonts w:hint="eastAsia"/>
        </w:rPr>
        <w:t>第一类是实践导向的专业核心课程。</w:t>
      </w:r>
    </w:p>
    <w:p>
      <w:pPr>
        <w:ind w:firstLine="482"/>
      </w:pPr>
      <w:r>
        <w:rPr>
          <w:rFonts w:hint="eastAsia"/>
        </w:rPr>
        <w:t xml:space="preserve">包括分子生物学应用技术、药物制剂技术、分离纯化技术、发酵制药技术课程等课程，理论实践高度融合，每个学生完成一轮从简单的单项基因操作、制剂操作、发酵技能操作到复杂生物制药技术操作、生物制药岗位综合技能操作而达到掌握技能要求，是职业技术课程。 </w:t>
      </w:r>
    </w:p>
    <w:p>
      <w:pPr>
        <w:ind w:firstLine="482"/>
      </w:pPr>
      <w:r>
        <w:rPr>
          <w:rFonts w:hint="eastAsia"/>
        </w:rPr>
        <w:t xml:space="preserve">第二类是职业素养培养为主导的校内、校外实训。 </w:t>
      </w:r>
    </w:p>
    <w:p>
      <w:pPr>
        <w:ind w:firstLine="482"/>
      </w:pPr>
      <w:r>
        <w:rPr>
          <w:rFonts w:hint="eastAsia"/>
        </w:rPr>
        <w:t xml:space="preserve">设置了一年级新生的“生产实训（校内、外真实企业）”和二年级的“毕业实习”（顶岗半年或以上）共2个校内、校外实训项目。鼓励大一期间学生利用暑假到企业“短期见习”。以培养学生的职业精神、职业养成、职业道德。 </w:t>
      </w:r>
    </w:p>
    <w:p>
      <w:pPr>
        <w:ind w:firstLine="482"/>
      </w:pPr>
      <w:r>
        <w:rPr>
          <w:rFonts w:hint="eastAsia"/>
        </w:rPr>
        <w:t xml:space="preserve">第三类是职业技能考核为主导的实训课程。 </w:t>
      </w:r>
    </w:p>
    <w:p>
      <w:pPr>
        <w:ind w:firstLine="482"/>
      </w:pPr>
      <w:r>
        <w:rPr>
          <w:rFonts w:hint="eastAsia"/>
        </w:rPr>
        <w:t xml:space="preserve">由制剂制造岗位综合实训、生物制药岗位综合实训等系列课程构成。这些实训结合相关专业课程帮助学生获得相对应工种的中级或以上职业资格证书。 </w:t>
      </w:r>
    </w:p>
    <w:p>
      <w:pPr>
        <w:ind w:firstLine="482"/>
      </w:pPr>
      <w:r>
        <w:rPr>
          <w:rFonts w:hint="eastAsia"/>
        </w:rPr>
        <w:t xml:space="preserve">第四类是可发展能力培养为主导的职业基础课程。 </w:t>
      </w:r>
    </w:p>
    <w:p>
      <w:pPr>
        <w:ind w:firstLine="482"/>
      </w:pPr>
      <w:r>
        <w:rPr>
          <w:rFonts w:hint="eastAsia"/>
        </w:rPr>
        <w:t>由毛泽东思想和中国特色社会主义理论体系概论、思想道德与法治、英语、体育与健康、计算机应用基础、医药行业安全规范、医药行业卫生学基础、大学生心理健康等课程组成。</w:t>
      </w:r>
    </w:p>
    <w:p>
      <w:pPr>
        <w:ind w:firstLine="0" w:firstLineChars="0"/>
        <w:jc w:val="center"/>
        <w:rPr>
          <w:rFonts w:cs="宋体"/>
          <w:kern w:val="0"/>
        </w:rPr>
      </w:pPr>
      <w:r>
        <w:rPr>
          <w:rFonts w:hint="eastAsia"/>
        </w:rPr>
        <w:t>表</w:t>
      </w:r>
      <w:r>
        <w:t>2</w:t>
      </w:r>
      <w:r>
        <w:rPr>
          <w:rFonts w:hint="eastAsia"/>
        </w:rPr>
        <w:t xml:space="preserve">    《酶制剂制造工》初级、中级、高级职业标准与课程的对应</w:t>
      </w:r>
    </w:p>
    <w:tbl>
      <w:tblPr>
        <w:tblStyle w:val="37"/>
        <w:tblW w:w="9526" w:type="dxa"/>
        <w:tblInd w:w="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883"/>
        <w:gridCol w:w="645"/>
        <w:gridCol w:w="1838"/>
        <w:gridCol w:w="664"/>
        <w:gridCol w:w="1800"/>
        <w:gridCol w:w="1363"/>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2507" w:type="dxa"/>
            <w:gridSpan w:val="2"/>
            <w:vAlign w:val="center"/>
          </w:tcPr>
          <w:p>
            <w:pPr>
              <w:pStyle w:val="175"/>
              <w:framePr w:wrap="around"/>
            </w:pPr>
            <w:r>
              <w:rPr>
                <w:rFonts w:hint="eastAsia"/>
              </w:rPr>
              <w:t>初级</w:t>
            </w:r>
          </w:p>
        </w:tc>
        <w:tc>
          <w:tcPr>
            <w:tcW w:w="2483" w:type="dxa"/>
            <w:gridSpan w:val="2"/>
            <w:vAlign w:val="center"/>
          </w:tcPr>
          <w:p>
            <w:pPr>
              <w:pStyle w:val="175"/>
              <w:framePr w:wrap="around"/>
            </w:pPr>
            <w:r>
              <w:rPr>
                <w:rFonts w:hint="eastAsia"/>
              </w:rPr>
              <w:t>中级</w:t>
            </w:r>
          </w:p>
        </w:tc>
        <w:tc>
          <w:tcPr>
            <w:tcW w:w="2464" w:type="dxa"/>
            <w:gridSpan w:val="2"/>
            <w:vAlign w:val="center"/>
          </w:tcPr>
          <w:p>
            <w:pPr>
              <w:pStyle w:val="175"/>
              <w:framePr w:wrap="around"/>
            </w:pPr>
            <w:r>
              <w:rPr>
                <w:rFonts w:hint="eastAsia"/>
              </w:rPr>
              <w:t>高级</w:t>
            </w:r>
          </w:p>
        </w:tc>
        <w:tc>
          <w:tcPr>
            <w:tcW w:w="1363" w:type="dxa"/>
            <w:vMerge w:val="restart"/>
            <w:vAlign w:val="center"/>
          </w:tcPr>
          <w:p>
            <w:pPr>
              <w:pStyle w:val="175"/>
              <w:framePr w:wrap="around"/>
            </w:pPr>
            <w:r>
              <w:rPr>
                <w:rFonts w:hint="eastAsia"/>
              </w:rPr>
              <w:t>对应课程</w:t>
            </w:r>
          </w:p>
        </w:tc>
        <w:tc>
          <w:tcPr>
            <w:tcW w:w="709" w:type="dxa"/>
            <w:vMerge w:val="restart"/>
            <w:vAlign w:val="center"/>
          </w:tcPr>
          <w:p>
            <w:pPr>
              <w:pStyle w:val="175"/>
              <w:framePr w:wrap="around"/>
            </w:pPr>
            <w:r>
              <w:rPr>
                <w:rFonts w:hint="eastAsia"/>
              </w:rPr>
              <w:t>开设学期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vAlign w:val="center"/>
          </w:tcPr>
          <w:p>
            <w:pPr>
              <w:pStyle w:val="175"/>
              <w:framePr w:wrap="around"/>
            </w:pPr>
            <w:r>
              <w:t>职业功能</w:t>
            </w:r>
          </w:p>
        </w:tc>
        <w:tc>
          <w:tcPr>
            <w:tcW w:w="1883" w:type="dxa"/>
            <w:vAlign w:val="center"/>
          </w:tcPr>
          <w:p>
            <w:pPr>
              <w:pStyle w:val="175"/>
              <w:framePr w:wrap="around"/>
            </w:pPr>
            <w:r>
              <w:t>工作内容</w:t>
            </w:r>
          </w:p>
        </w:tc>
        <w:tc>
          <w:tcPr>
            <w:tcW w:w="645" w:type="dxa"/>
            <w:vAlign w:val="center"/>
          </w:tcPr>
          <w:p>
            <w:pPr>
              <w:pStyle w:val="175"/>
              <w:framePr w:wrap="around"/>
            </w:pPr>
            <w:r>
              <w:t>职业功能</w:t>
            </w:r>
          </w:p>
        </w:tc>
        <w:tc>
          <w:tcPr>
            <w:tcW w:w="1838" w:type="dxa"/>
            <w:vAlign w:val="center"/>
          </w:tcPr>
          <w:p>
            <w:pPr>
              <w:pStyle w:val="175"/>
              <w:framePr w:wrap="around"/>
            </w:pPr>
            <w:r>
              <w:t>工作内容</w:t>
            </w:r>
          </w:p>
        </w:tc>
        <w:tc>
          <w:tcPr>
            <w:tcW w:w="664" w:type="dxa"/>
            <w:vAlign w:val="center"/>
          </w:tcPr>
          <w:p>
            <w:pPr>
              <w:pStyle w:val="175"/>
              <w:framePr w:wrap="around"/>
            </w:pPr>
            <w:r>
              <w:t>职</w:t>
            </w:r>
          </w:p>
          <w:p>
            <w:pPr>
              <w:pStyle w:val="175"/>
              <w:framePr w:wrap="around"/>
            </w:pPr>
            <w:r>
              <w:t>业</w:t>
            </w:r>
          </w:p>
          <w:p>
            <w:pPr>
              <w:pStyle w:val="175"/>
              <w:framePr w:wrap="around"/>
            </w:pPr>
            <w:r>
              <w:t>功</w:t>
            </w:r>
          </w:p>
          <w:p>
            <w:pPr>
              <w:pStyle w:val="175"/>
              <w:framePr w:wrap="around"/>
            </w:pPr>
            <w:r>
              <w:t>能</w:t>
            </w:r>
          </w:p>
        </w:tc>
        <w:tc>
          <w:tcPr>
            <w:tcW w:w="1800" w:type="dxa"/>
            <w:vAlign w:val="center"/>
          </w:tcPr>
          <w:p>
            <w:pPr>
              <w:pStyle w:val="175"/>
              <w:framePr w:wrap="around"/>
            </w:pPr>
            <w:r>
              <w:t>工作内容</w:t>
            </w:r>
          </w:p>
        </w:tc>
        <w:tc>
          <w:tcPr>
            <w:tcW w:w="1363" w:type="dxa"/>
            <w:vMerge w:val="continue"/>
            <w:vAlign w:val="center"/>
          </w:tcPr>
          <w:p>
            <w:pPr>
              <w:pStyle w:val="175"/>
              <w:framePr w:wrap="around"/>
            </w:pPr>
          </w:p>
        </w:tc>
        <w:tc>
          <w:tcPr>
            <w:tcW w:w="709" w:type="dxa"/>
            <w:vMerge w:val="continue"/>
            <w:vAlign w:val="center"/>
          </w:tcPr>
          <w:p>
            <w:pPr>
              <w:pStyle w:val="175"/>
              <w:framePr w:wrap="around"/>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0" w:hRule="atLeast"/>
        </w:trPr>
        <w:tc>
          <w:tcPr>
            <w:tcW w:w="624" w:type="dxa"/>
            <w:vMerge w:val="restart"/>
            <w:vAlign w:val="center"/>
          </w:tcPr>
          <w:p>
            <w:pPr>
              <w:pStyle w:val="175"/>
              <w:framePr w:wrap="around"/>
            </w:pPr>
            <w:r>
              <w:t>一、</w:t>
            </w:r>
            <w:r>
              <w:rPr>
                <w:rFonts w:hint="eastAsia"/>
              </w:rPr>
              <w:t>菌种培养</w:t>
            </w:r>
          </w:p>
          <w:p>
            <w:pPr>
              <w:pStyle w:val="175"/>
              <w:framePr w:wrap="around"/>
            </w:pPr>
          </w:p>
        </w:tc>
        <w:tc>
          <w:tcPr>
            <w:tcW w:w="1883" w:type="dxa"/>
            <w:vMerge w:val="restart"/>
            <w:vAlign w:val="center"/>
          </w:tcPr>
          <w:p>
            <w:pPr>
              <w:pStyle w:val="175"/>
              <w:framePr w:wrap="around"/>
            </w:pPr>
            <w:r>
              <w:t>（一）</w:t>
            </w:r>
            <w:r>
              <w:rPr>
                <w:rFonts w:hint="eastAsia"/>
              </w:rPr>
              <w:t>培菌准备</w:t>
            </w:r>
          </w:p>
          <w:p>
            <w:pPr>
              <w:pStyle w:val="175"/>
              <w:framePr w:wrap="around"/>
            </w:pPr>
            <w:r>
              <w:t>（二）</w:t>
            </w:r>
            <w:r>
              <w:rPr>
                <w:rFonts w:hint="eastAsia"/>
              </w:rPr>
              <w:t>配制发酵培养基</w:t>
            </w:r>
          </w:p>
          <w:p>
            <w:pPr>
              <w:pStyle w:val="175"/>
              <w:framePr w:wrap="around"/>
            </w:pPr>
            <w:r>
              <w:rPr>
                <w:rFonts w:hint="eastAsia"/>
              </w:rPr>
              <w:t>（三）分离纯化</w:t>
            </w:r>
          </w:p>
          <w:p>
            <w:pPr>
              <w:pStyle w:val="175"/>
              <w:framePr w:wrap="around"/>
            </w:pPr>
            <w:r>
              <w:rPr>
                <w:rFonts w:hint="eastAsia"/>
              </w:rPr>
              <w:t>（四）一级培养</w:t>
            </w:r>
          </w:p>
        </w:tc>
        <w:tc>
          <w:tcPr>
            <w:tcW w:w="645" w:type="dxa"/>
            <w:vMerge w:val="restart"/>
            <w:vAlign w:val="center"/>
          </w:tcPr>
          <w:p>
            <w:pPr>
              <w:pStyle w:val="175"/>
              <w:framePr w:wrap="around"/>
            </w:pPr>
            <w:r>
              <w:rPr>
                <w:rFonts w:hint="eastAsia"/>
              </w:rPr>
              <w:t>一、菌种培养</w:t>
            </w:r>
          </w:p>
        </w:tc>
        <w:tc>
          <w:tcPr>
            <w:tcW w:w="1838" w:type="dxa"/>
            <w:vMerge w:val="restart"/>
            <w:vAlign w:val="center"/>
          </w:tcPr>
          <w:p>
            <w:pPr>
              <w:pStyle w:val="175"/>
              <w:framePr w:wrap="around"/>
            </w:pPr>
            <w:r>
              <w:rPr>
                <w:rFonts w:hint="eastAsia"/>
              </w:rPr>
              <w:t>（一）培菌准备</w:t>
            </w:r>
          </w:p>
          <w:p>
            <w:pPr>
              <w:pStyle w:val="175"/>
              <w:framePr w:wrap="around"/>
            </w:pPr>
            <w:r>
              <w:rPr>
                <w:rFonts w:hint="eastAsia"/>
              </w:rPr>
              <w:t>（二）配制发酵培养基</w:t>
            </w:r>
          </w:p>
          <w:p>
            <w:pPr>
              <w:pStyle w:val="175"/>
              <w:framePr w:wrap="around"/>
            </w:pPr>
            <w:r>
              <w:rPr>
                <w:rFonts w:hint="eastAsia"/>
              </w:rPr>
              <w:t>（三）分离纯化</w:t>
            </w:r>
          </w:p>
          <w:p>
            <w:pPr>
              <w:pStyle w:val="175"/>
              <w:framePr w:wrap="around"/>
            </w:pPr>
            <w:r>
              <w:rPr>
                <w:rFonts w:hint="eastAsia"/>
              </w:rPr>
              <w:t>（四）一级培养</w:t>
            </w:r>
          </w:p>
        </w:tc>
        <w:tc>
          <w:tcPr>
            <w:tcW w:w="664" w:type="dxa"/>
            <w:vMerge w:val="restart"/>
            <w:vAlign w:val="center"/>
          </w:tcPr>
          <w:p>
            <w:pPr>
              <w:pStyle w:val="175"/>
              <w:framePr w:wrap="around"/>
            </w:pPr>
            <w:r>
              <w:rPr>
                <w:rFonts w:hint="eastAsia"/>
              </w:rPr>
              <w:t>一、菌种培养</w:t>
            </w:r>
          </w:p>
        </w:tc>
        <w:tc>
          <w:tcPr>
            <w:tcW w:w="1800" w:type="dxa"/>
            <w:vMerge w:val="restart"/>
            <w:vAlign w:val="center"/>
          </w:tcPr>
          <w:p>
            <w:pPr>
              <w:pStyle w:val="175"/>
              <w:framePr w:wrap="around"/>
            </w:pPr>
            <w:r>
              <w:rPr>
                <w:rFonts w:hint="eastAsia"/>
              </w:rPr>
              <w:t>（一）培菌准备</w:t>
            </w:r>
          </w:p>
          <w:p>
            <w:pPr>
              <w:pStyle w:val="175"/>
              <w:framePr w:wrap="around"/>
            </w:pPr>
            <w:r>
              <w:t>（二）</w:t>
            </w:r>
            <w:r>
              <w:rPr>
                <w:rFonts w:hint="eastAsia"/>
              </w:rPr>
              <w:t>配制发酵培养基</w:t>
            </w:r>
          </w:p>
          <w:p>
            <w:pPr>
              <w:pStyle w:val="175"/>
              <w:framePr w:wrap="around"/>
            </w:pPr>
            <w:r>
              <w:rPr>
                <w:rFonts w:hint="eastAsia"/>
              </w:rPr>
              <w:t>（三）分离纯化</w:t>
            </w:r>
          </w:p>
          <w:p>
            <w:pPr>
              <w:pStyle w:val="175"/>
              <w:framePr w:wrap="around"/>
            </w:pPr>
            <w:r>
              <w:rPr>
                <w:rFonts w:hint="eastAsia"/>
              </w:rPr>
              <w:t>（四）一级培养</w:t>
            </w:r>
          </w:p>
        </w:tc>
        <w:tc>
          <w:tcPr>
            <w:tcW w:w="1363" w:type="dxa"/>
            <w:vAlign w:val="center"/>
          </w:tcPr>
          <w:p>
            <w:pPr>
              <w:pStyle w:val="175"/>
              <w:framePr w:wrap="around"/>
            </w:pPr>
            <w:r>
              <w:t>医药行业卫生学基础</w:t>
            </w:r>
          </w:p>
        </w:tc>
        <w:tc>
          <w:tcPr>
            <w:tcW w:w="709" w:type="dxa"/>
            <w:vAlign w:val="center"/>
          </w:tcPr>
          <w:p>
            <w:pPr>
              <w:pStyle w:val="175"/>
              <w:framePr w:wrap="around"/>
            </w:pPr>
            <w: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2" w:hRule="atLeast"/>
        </w:trPr>
        <w:tc>
          <w:tcPr>
            <w:tcW w:w="624" w:type="dxa"/>
            <w:vMerge w:val="continue"/>
            <w:vAlign w:val="center"/>
          </w:tcPr>
          <w:p>
            <w:pPr>
              <w:pStyle w:val="175"/>
              <w:framePr w:wrap="around"/>
            </w:pPr>
          </w:p>
        </w:tc>
        <w:tc>
          <w:tcPr>
            <w:tcW w:w="1883" w:type="dxa"/>
            <w:vMerge w:val="continue"/>
            <w:vAlign w:val="center"/>
          </w:tcPr>
          <w:p>
            <w:pPr>
              <w:pStyle w:val="175"/>
              <w:framePr w:wrap="around"/>
            </w:pPr>
          </w:p>
        </w:tc>
        <w:tc>
          <w:tcPr>
            <w:tcW w:w="645" w:type="dxa"/>
            <w:vMerge w:val="continue"/>
            <w:vAlign w:val="center"/>
          </w:tcPr>
          <w:p>
            <w:pPr>
              <w:pStyle w:val="175"/>
              <w:framePr w:wrap="around"/>
            </w:pPr>
          </w:p>
        </w:tc>
        <w:tc>
          <w:tcPr>
            <w:tcW w:w="1838" w:type="dxa"/>
            <w:vMerge w:val="continue"/>
            <w:vAlign w:val="center"/>
          </w:tcPr>
          <w:p>
            <w:pPr>
              <w:pStyle w:val="175"/>
              <w:framePr w:wrap="around"/>
            </w:pPr>
          </w:p>
        </w:tc>
        <w:tc>
          <w:tcPr>
            <w:tcW w:w="664" w:type="dxa"/>
            <w:vMerge w:val="continue"/>
            <w:vAlign w:val="center"/>
          </w:tcPr>
          <w:p>
            <w:pPr>
              <w:pStyle w:val="175"/>
              <w:framePr w:wrap="around"/>
            </w:pPr>
          </w:p>
        </w:tc>
        <w:tc>
          <w:tcPr>
            <w:tcW w:w="1800" w:type="dxa"/>
            <w:vMerge w:val="continue"/>
            <w:vAlign w:val="center"/>
          </w:tcPr>
          <w:p>
            <w:pPr>
              <w:pStyle w:val="175"/>
              <w:framePr w:wrap="around"/>
            </w:pPr>
          </w:p>
        </w:tc>
        <w:tc>
          <w:tcPr>
            <w:tcW w:w="1363" w:type="dxa"/>
            <w:vAlign w:val="center"/>
          </w:tcPr>
          <w:p>
            <w:pPr>
              <w:pStyle w:val="175"/>
              <w:framePr w:wrap="around"/>
            </w:pPr>
            <w:r>
              <w:rPr>
                <w:rFonts w:hint="eastAsia"/>
              </w:rPr>
              <w:t>药用微生物技术</w:t>
            </w:r>
          </w:p>
        </w:tc>
        <w:tc>
          <w:tcPr>
            <w:tcW w:w="709" w:type="dxa"/>
            <w:vAlign w:val="center"/>
          </w:tcPr>
          <w:p>
            <w:pPr>
              <w:pStyle w:val="175"/>
              <w:framePr w:wrap="around"/>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624" w:type="dxa"/>
            <w:vMerge w:val="continue"/>
            <w:vAlign w:val="center"/>
          </w:tcPr>
          <w:p>
            <w:pPr>
              <w:pStyle w:val="175"/>
              <w:framePr w:wrap="around"/>
            </w:pPr>
          </w:p>
        </w:tc>
        <w:tc>
          <w:tcPr>
            <w:tcW w:w="1883" w:type="dxa"/>
            <w:vMerge w:val="continue"/>
            <w:vAlign w:val="center"/>
          </w:tcPr>
          <w:p>
            <w:pPr>
              <w:pStyle w:val="175"/>
              <w:framePr w:wrap="around"/>
            </w:pPr>
          </w:p>
        </w:tc>
        <w:tc>
          <w:tcPr>
            <w:tcW w:w="645" w:type="dxa"/>
            <w:vMerge w:val="continue"/>
            <w:vAlign w:val="center"/>
          </w:tcPr>
          <w:p>
            <w:pPr>
              <w:pStyle w:val="175"/>
              <w:framePr w:wrap="around"/>
            </w:pPr>
          </w:p>
        </w:tc>
        <w:tc>
          <w:tcPr>
            <w:tcW w:w="1838" w:type="dxa"/>
            <w:vMerge w:val="continue"/>
            <w:vAlign w:val="center"/>
          </w:tcPr>
          <w:p>
            <w:pPr>
              <w:pStyle w:val="175"/>
              <w:framePr w:wrap="around"/>
            </w:pPr>
          </w:p>
        </w:tc>
        <w:tc>
          <w:tcPr>
            <w:tcW w:w="664" w:type="dxa"/>
            <w:vMerge w:val="continue"/>
            <w:vAlign w:val="center"/>
          </w:tcPr>
          <w:p>
            <w:pPr>
              <w:pStyle w:val="175"/>
              <w:framePr w:wrap="around"/>
            </w:pPr>
          </w:p>
        </w:tc>
        <w:tc>
          <w:tcPr>
            <w:tcW w:w="1800" w:type="dxa"/>
            <w:vMerge w:val="continue"/>
            <w:vAlign w:val="center"/>
          </w:tcPr>
          <w:p>
            <w:pPr>
              <w:pStyle w:val="175"/>
              <w:framePr w:wrap="around"/>
            </w:pPr>
          </w:p>
        </w:tc>
        <w:tc>
          <w:tcPr>
            <w:tcW w:w="1363" w:type="dxa"/>
            <w:vAlign w:val="center"/>
          </w:tcPr>
          <w:p>
            <w:pPr>
              <w:pStyle w:val="175"/>
              <w:framePr w:wrap="around"/>
            </w:pPr>
            <w:r>
              <w:rPr>
                <w:rFonts w:hint="eastAsia"/>
              </w:rPr>
              <w:t>分子生物学应用技术</w:t>
            </w:r>
          </w:p>
        </w:tc>
        <w:tc>
          <w:tcPr>
            <w:tcW w:w="709" w:type="dxa"/>
            <w:vAlign w:val="center"/>
          </w:tcPr>
          <w:p>
            <w:pPr>
              <w:pStyle w:val="175"/>
              <w:framePr w:wrap="around"/>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624" w:type="dxa"/>
            <w:vMerge w:val="restart"/>
            <w:vAlign w:val="center"/>
          </w:tcPr>
          <w:p>
            <w:pPr>
              <w:pStyle w:val="175"/>
              <w:framePr w:wrap="around"/>
            </w:pPr>
            <w:r>
              <w:t>二、</w:t>
            </w:r>
            <w:r>
              <w:rPr>
                <w:rFonts w:hint="eastAsia"/>
              </w:rPr>
              <w:t>发酵</w:t>
            </w:r>
          </w:p>
        </w:tc>
        <w:tc>
          <w:tcPr>
            <w:tcW w:w="1883" w:type="dxa"/>
            <w:vMerge w:val="restart"/>
            <w:vAlign w:val="center"/>
          </w:tcPr>
          <w:p>
            <w:pPr>
              <w:pStyle w:val="175"/>
              <w:framePr w:wrap="around"/>
            </w:pPr>
            <w:r>
              <w:rPr>
                <w:rFonts w:hint="eastAsia"/>
              </w:rPr>
              <w:t>（一）设备准备</w:t>
            </w:r>
          </w:p>
          <w:p>
            <w:pPr>
              <w:pStyle w:val="175"/>
              <w:framePr w:wrap="around"/>
            </w:pPr>
            <w:r>
              <w:rPr>
                <w:rFonts w:hint="eastAsia"/>
              </w:rPr>
              <w:t>（二）物料准备</w:t>
            </w:r>
          </w:p>
          <w:p>
            <w:pPr>
              <w:pStyle w:val="175"/>
              <w:framePr w:wrap="around"/>
            </w:pPr>
            <w:r>
              <w:rPr>
                <w:rFonts w:hint="eastAsia"/>
              </w:rPr>
              <w:t>（三）灭菌</w:t>
            </w:r>
          </w:p>
          <w:p>
            <w:pPr>
              <w:pStyle w:val="175"/>
              <w:framePr w:wrap="around"/>
            </w:pPr>
            <w:r>
              <w:rPr>
                <w:rFonts w:hint="eastAsia"/>
              </w:rPr>
              <w:t>（四）种子培养</w:t>
            </w:r>
          </w:p>
          <w:p>
            <w:pPr>
              <w:pStyle w:val="175"/>
              <w:framePr w:wrap="around"/>
            </w:pPr>
            <w:r>
              <w:rPr>
                <w:rFonts w:hint="eastAsia"/>
              </w:rPr>
              <w:t>（五）微生物发酵</w:t>
            </w:r>
          </w:p>
        </w:tc>
        <w:tc>
          <w:tcPr>
            <w:tcW w:w="645" w:type="dxa"/>
            <w:vMerge w:val="restart"/>
            <w:vAlign w:val="center"/>
          </w:tcPr>
          <w:p>
            <w:pPr>
              <w:pStyle w:val="175"/>
              <w:framePr w:wrap="around"/>
              <w:rPr>
                <w:rFonts w:cs="宋体"/>
              </w:rPr>
            </w:pPr>
            <w:r>
              <w:rPr>
                <w:rFonts w:hint="eastAsia" w:cs="宋体"/>
              </w:rPr>
              <w:t>二、发酵</w:t>
            </w:r>
          </w:p>
          <w:p>
            <w:pPr>
              <w:pStyle w:val="175"/>
              <w:framePr w:wrap="around"/>
              <w:rPr>
                <w:rFonts w:cs="宋体"/>
              </w:rPr>
            </w:pPr>
          </w:p>
          <w:p>
            <w:pPr>
              <w:pStyle w:val="175"/>
              <w:framePr w:wrap="around"/>
              <w:rPr>
                <w:rFonts w:cs="宋体"/>
              </w:rPr>
            </w:pPr>
          </w:p>
        </w:tc>
        <w:tc>
          <w:tcPr>
            <w:tcW w:w="1838" w:type="dxa"/>
            <w:vMerge w:val="restart"/>
            <w:vAlign w:val="center"/>
          </w:tcPr>
          <w:p>
            <w:pPr>
              <w:pStyle w:val="175"/>
              <w:framePr w:wrap="around"/>
              <w:rPr>
                <w:rFonts w:cs="宋体"/>
              </w:rPr>
            </w:pPr>
            <w:r>
              <w:rPr>
                <w:rFonts w:hint="eastAsia" w:cs="宋体"/>
              </w:rPr>
              <w:t>（一）设备准备</w:t>
            </w:r>
          </w:p>
          <w:p>
            <w:pPr>
              <w:pStyle w:val="175"/>
              <w:framePr w:wrap="around"/>
              <w:rPr>
                <w:rFonts w:cs="宋体"/>
              </w:rPr>
            </w:pPr>
            <w:r>
              <w:rPr>
                <w:rFonts w:hint="eastAsia" w:cs="宋体"/>
              </w:rPr>
              <w:t>（二）物料准备</w:t>
            </w:r>
          </w:p>
          <w:p>
            <w:pPr>
              <w:pStyle w:val="175"/>
              <w:framePr w:wrap="around"/>
              <w:rPr>
                <w:rFonts w:cs="宋体"/>
              </w:rPr>
            </w:pPr>
            <w:r>
              <w:rPr>
                <w:rFonts w:hint="eastAsia" w:cs="宋体"/>
              </w:rPr>
              <w:t>（三）灭菌</w:t>
            </w:r>
          </w:p>
          <w:p>
            <w:pPr>
              <w:pStyle w:val="175"/>
              <w:framePr w:wrap="around"/>
              <w:rPr>
                <w:rFonts w:cs="宋体"/>
              </w:rPr>
            </w:pPr>
            <w:r>
              <w:rPr>
                <w:rFonts w:hint="eastAsia" w:cs="宋体"/>
              </w:rPr>
              <w:t>（四）种子培养</w:t>
            </w:r>
          </w:p>
          <w:p>
            <w:pPr>
              <w:pStyle w:val="175"/>
              <w:framePr w:wrap="around"/>
              <w:rPr>
                <w:rFonts w:cs="宋体"/>
              </w:rPr>
            </w:pPr>
            <w:r>
              <w:rPr>
                <w:rFonts w:hint="eastAsia" w:cs="宋体"/>
              </w:rPr>
              <w:t>（五）微生物发酵</w:t>
            </w:r>
          </w:p>
        </w:tc>
        <w:tc>
          <w:tcPr>
            <w:tcW w:w="664" w:type="dxa"/>
            <w:vMerge w:val="restart"/>
            <w:vAlign w:val="center"/>
          </w:tcPr>
          <w:p>
            <w:pPr>
              <w:pStyle w:val="175"/>
              <w:framePr w:wrap="around"/>
              <w:rPr>
                <w:rFonts w:cs="宋体"/>
              </w:rPr>
            </w:pPr>
            <w:r>
              <w:rPr>
                <w:rFonts w:hint="eastAsia" w:cs="宋体"/>
              </w:rPr>
              <w:t>二、发酵</w:t>
            </w:r>
          </w:p>
        </w:tc>
        <w:tc>
          <w:tcPr>
            <w:tcW w:w="1800" w:type="dxa"/>
            <w:vMerge w:val="restart"/>
            <w:vAlign w:val="center"/>
          </w:tcPr>
          <w:p>
            <w:pPr>
              <w:pStyle w:val="175"/>
              <w:framePr w:wrap="around"/>
              <w:rPr>
                <w:rFonts w:cs="宋体"/>
              </w:rPr>
            </w:pPr>
            <w:r>
              <w:rPr>
                <w:rFonts w:hint="eastAsia" w:cs="宋体"/>
              </w:rPr>
              <w:t>（一）设备准备</w:t>
            </w:r>
          </w:p>
          <w:p>
            <w:pPr>
              <w:pStyle w:val="175"/>
              <w:framePr w:wrap="around"/>
              <w:rPr>
                <w:rFonts w:cs="宋体"/>
              </w:rPr>
            </w:pPr>
            <w:r>
              <w:rPr>
                <w:rFonts w:hint="eastAsia" w:cs="宋体"/>
              </w:rPr>
              <w:t>（二）物料准备</w:t>
            </w:r>
          </w:p>
          <w:p>
            <w:pPr>
              <w:pStyle w:val="175"/>
              <w:framePr w:wrap="around"/>
              <w:rPr>
                <w:rFonts w:cs="宋体"/>
              </w:rPr>
            </w:pPr>
            <w:r>
              <w:rPr>
                <w:rFonts w:hint="eastAsia" w:cs="宋体"/>
              </w:rPr>
              <w:t>（三）灭菌</w:t>
            </w:r>
          </w:p>
          <w:p>
            <w:pPr>
              <w:pStyle w:val="175"/>
              <w:framePr w:wrap="around"/>
              <w:rPr>
                <w:rFonts w:cs="宋体"/>
              </w:rPr>
            </w:pPr>
            <w:r>
              <w:rPr>
                <w:rFonts w:hint="eastAsia" w:cs="宋体"/>
              </w:rPr>
              <w:t>（四）种子培养</w:t>
            </w:r>
          </w:p>
          <w:p>
            <w:pPr>
              <w:pStyle w:val="175"/>
              <w:framePr w:wrap="around"/>
              <w:rPr>
                <w:rFonts w:cs="宋体"/>
              </w:rPr>
            </w:pPr>
            <w:r>
              <w:rPr>
                <w:rFonts w:hint="eastAsia" w:cs="宋体"/>
              </w:rPr>
              <w:t>（五）微生物发酵</w:t>
            </w:r>
          </w:p>
        </w:tc>
        <w:tc>
          <w:tcPr>
            <w:tcW w:w="1363" w:type="dxa"/>
            <w:vAlign w:val="center"/>
          </w:tcPr>
          <w:p>
            <w:pPr>
              <w:pStyle w:val="175"/>
              <w:framePr w:wrap="around"/>
            </w:pPr>
            <w:r>
              <w:rPr>
                <w:rFonts w:hint="eastAsia"/>
              </w:rPr>
              <w:t>生物制药设备</w:t>
            </w:r>
          </w:p>
        </w:tc>
        <w:tc>
          <w:tcPr>
            <w:tcW w:w="709" w:type="dxa"/>
            <w:vAlign w:val="center"/>
          </w:tcPr>
          <w:p>
            <w:pPr>
              <w:pStyle w:val="175"/>
              <w:framePr w:wrap="around"/>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624" w:type="dxa"/>
            <w:vMerge w:val="continue"/>
            <w:vAlign w:val="center"/>
          </w:tcPr>
          <w:p>
            <w:pPr>
              <w:pStyle w:val="175"/>
              <w:framePr w:wrap="around"/>
            </w:pPr>
          </w:p>
        </w:tc>
        <w:tc>
          <w:tcPr>
            <w:tcW w:w="1883" w:type="dxa"/>
            <w:vMerge w:val="continue"/>
            <w:vAlign w:val="center"/>
          </w:tcPr>
          <w:p>
            <w:pPr>
              <w:pStyle w:val="175"/>
              <w:framePr w:wrap="around"/>
            </w:pPr>
          </w:p>
        </w:tc>
        <w:tc>
          <w:tcPr>
            <w:tcW w:w="645" w:type="dxa"/>
            <w:vMerge w:val="continue"/>
            <w:vAlign w:val="center"/>
          </w:tcPr>
          <w:p>
            <w:pPr>
              <w:pStyle w:val="175"/>
              <w:framePr w:wrap="around"/>
              <w:rPr>
                <w:rFonts w:cs="宋体"/>
              </w:rPr>
            </w:pPr>
          </w:p>
        </w:tc>
        <w:tc>
          <w:tcPr>
            <w:tcW w:w="1838" w:type="dxa"/>
            <w:vMerge w:val="continue"/>
            <w:vAlign w:val="center"/>
          </w:tcPr>
          <w:p>
            <w:pPr>
              <w:pStyle w:val="175"/>
              <w:framePr w:wrap="around"/>
              <w:rPr>
                <w:rFonts w:cs="宋体"/>
              </w:rPr>
            </w:pPr>
          </w:p>
        </w:tc>
        <w:tc>
          <w:tcPr>
            <w:tcW w:w="664" w:type="dxa"/>
            <w:vMerge w:val="continue"/>
            <w:vAlign w:val="center"/>
          </w:tcPr>
          <w:p>
            <w:pPr>
              <w:pStyle w:val="175"/>
              <w:framePr w:wrap="around"/>
              <w:rPr>
                <w:rFonts w:cs="宋体"/>
              </w:rPr>
            </w:pPr>
          </w:p>
        </w:tc>
        <w:tc>
          <w:tcPr>
            <w:tcW w:w="1800" w:type="dxa"/>
            <w:vMerge w:val="continue"/>
            <w:vAlign w:val="center"/>
          </w:tcPr>
          <w:p>
            <w:pPr>
              <w:pStyle w:val="175"/>
              <w:framePr w:wrap="around"/>
              <w:rPr>
                <w:rFonts w:cs="宋体"/>
              </w:rPr>
            </w:pPr>
          </w:p>
        </w:tc>
        <w:tc>
          <w:tcPr>
            <w:tcW w:w="1363" w:type="dxa"/>
            <w:vAlign w:val="center"/>
          </w:tcPr>
          <w:p>
            <w:pPr>
              <w:pStyle w:val="175"/>
              <w:framePr w:wrap="around"/>
            </w:pPr>
            <w:r>
              <w:rPr>
                <w:rFonts w:hint="eastAsia"/>
              </w:rPr>
              <w:t>发酵制药技术</w:t>
            </w:r>
          </w:p>
        </w:tc>
        <w:tc>
          <w:tcPr>
            <w:tcW w:w="709" w:type="dxa"/>
            <w:vAlign w:val="center"/>
          </w:tcPr>
          <w:p>
            <w:pPr>
              <w:pStyle w:val="175"/>
              <w:framePr w:wrap="around"/>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624" w:type="dxa"/>
            <w:vMerge w:val="continue"/>
            <w:vAlign w:val="center"/>
          </w:tcPr>
          <w:p>
            <w:pPr>
              <w:pStyle w:val="175"/>
              <w:framePr w:wrap="around"/>
            </w:pPr>
          </w:p>
        </w:tc>
        <w:tc>
          <w:tcPr>
            <w:tcW w:w="1883" w:type="dxa"/>
            <w:vMerge w:val="continue"/>
            <w:vAlign w:val="center"/>
          </w:tcPr>
          <w:p>
            <w:pPr>
              <w:pStyle w:val="175"/>
              <w:framePr w:wrap="around"/>
            </w:pPr>
          </w:p>
        </w:tc>
        <w:tc>
          <w:tcPr>
            <w:tcW w:w="645" w:type="dxa"/>
            <w:vMerge w:val="continue"/>
            <w:vAlign w:val="center"/>
          </w:tcPr>
          <w:p>
            <w:pPr>
              <w:pStyle w:val="175"/>
              <w:framePr w:wrap="around"/>
              <w:rPr>
                <w:rFonts w:cs="宋体"/>
              </w:rPr>
            </w:pPr>
          </w:p>
        </w:tc>
        <w:tc>
          <w:tcPr>
            <w:tcW w:w="1838" w:type="dxa"/>
            <w:vMerge w:val="continue"/>
            <w:vAlign w:val="center"/>
          </w:tcPr>
          <w:p>
            <w:pPr>
              <w:pStyle w:val="175"/>
              <w:framePr w:wrap="around"/>
              <w:rPr>
                <w:rFonts w:cs="宋体"/>
              </w:rPr>
            </w:pPr>
          </w:p>
        </w:tc>
        <w:tc>
          <w:tcPr>
            <w:tcW w:w="664" w:type="dxa"/>
            <w:vMerge w:val="continue"/>
            <w:vAlign w:val="center"/>
          </w:tcPr>
          <w:p>
            <w:pPr>
              <w:pStyle w:val="175"/>
              <w:framePr w:wrap="around"/>
              <w:rPr>
                <w:rFonts w:cs="宋体"/>
              </w:rPr>
            </w:pPr>
          </w:p>
        </w:tc>
        <w:tc>
          <w:tcPr>
            <w:tcW w:w="1800" w:type="dxa"/>
            <w:vMerge w:val="continue"/>
            <w:vAlign w:val="center"/>
          </w:tcPr>
          <w:p>
            <w:pPr>
              <w:pStyle w:val="175"/>
              <w:framePr w:wrap="around"/>
              <w:rPr>
                <w:rFonts w:cs="宋体"/>
              </w:rPr>
            </w:pPr>
          </w:p>
        </w:tc>
        <w:tc>
          <w:tcPr>
            <w:tcW w:w="1363" w:type="dxa"/>
            <w:vAlign w:val="center"/>
          </w:tcPr>
          <w:p>
            <w:pPr>
              <w:pStyle w:val="175"/>
              <w:framePr w:wrap="around"/>
            </w:pPr>
            <w:r>
              <w:rPr>
                <w:rFonts w:hint="eastAsia"/>
              </w:rPr>
              <w:t>生物制药岗位综合实训</w:t>
            </w:r>
          </w:p>
        </w:tc>
        <w:tc>
          <w:tcPr>
            <w:tcW w:w="709" w:type="dxa"/>
            <w:vAlign w:val="center"/>
          </w:tcPr>
          <w:p>
            <w:pPr>
              <w:pStyle w:val="175"/>
              <w:framePr w:wrap="around"/>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trPr>
        <w:tc>
          <w:tcPr>
            <w:tcW w:w="624" w:type="dxa"/>
            <w:vMerge w:val="restart"/>
            <w:vAlign w:val="center"/>
          </w:tcPr>
          <w:p>
            <w:pPr>
              <w:pStyle w:val="175"/>
              <w:framePr w:wrap="around"/>
            </w:pPr>
            <w:r>
              <w:t>三、</w:t>
            </w:r>
            <w:r>
              <w:rPr>
                <w:rFonts w:hint="eastAsia"/>
              </w:rPr>
              <w:t>产品提取</w:t>
            </w:r>
          </w:p>
          <w:p>
            <w:pPr>
              <w:pStyle w:val="175"/>
              <w:framePr w:wrap="around"/>
            </w:pPr>
          </w:p>
        </w:tc>
        <w:tc>
          <w:tcPr>
            <w:tcW w:w="1883" w:type="dxa"/>
            <w:vMerge w:val="restart"/>
            <w:vAlign w:val="center"/>
          </w:tcPr>
          <w:p>
            <w:pPr>
              <w:pStyle w:val="175"/>
              <w:framePr w:wrap="around"/>
            </w:pPr>
            <w:r>
              <w:rPr>
                <w:rFonts w:hint="eastAsia"/>
              </w:rPr>
              <w:t>（一）设备准备</w:t>
            </w:r>
          </w:p>
          <w:p>
            <w:pPr>
              <w:pStyle w:val="175"/>
              <w:framePr w:wrap="around"/>
            </w:pPr>
            <w:r>
              <w:rPr>
                <w:rFonts w:hint="eastAsia"/>
              </w:rPr>
              <w:t>（二）物料准备</w:t>
            </w:r>
          </w:p>
          <w:p>
            <w:pPr>
              <w:pStyle w:val="175"/>
              <w:framePr w:wrap="around"/>
            </w:pPr>
            <w:r>
              <w:rPr>
                <w:rFonts w:hint="eastAsia"/>
              </w:rPr>
              <w:t>（三）过滤</w:t>
            </w:r>
          </w:p>
          <w:p>
            <w:pPr>
              <w:pStyle w:val="175"/>
              <w:framePr w:wrap="around"/>
            </w:pPr>
            <w:r>
              <w:rPr>
                <w:rFonts w:hint="eastAsia"/>
              </w:rPr>
              <w:t>（四）盐析</w:t>
            </w:r>
          </w:p>
          <w:p>
            <w:pPr>
              <w:pStyle w:val="175"/>
              <w:framePr w:wrap="around"/>
            </w:pPr>
            <w:r>
              <w:rPr>
                <w:rFonts w:hint="eastAsia"/>
              </w:rPr>
              <w:t>（五）干燥</w:t>
            </w:r>
          </w:p>
          <w:p>
            <w:pPr>
              <w:pStyle w:val="175"/>
              <w:framePr w:wrap="around"/>
            </w:pPr>
            <w:r>
              <w:rPr>
                <w:rFonts w:hint="eastAsia"/>
              </w:rPr>
              <w:t>（六）混合配制</w:t>
            </w:r>
          </w:p>
          <w:p>
            <w:pPr>
              <w:pStyle w:val="175"/>
              <w:framePr w:wrap="around"/>
            </w:pPr>
            <w:r>
              <w:rPr>
                <w:rFonts w:hint="eastAsia"/>
              </w:rPr>
              <w:t>（七）成品包装</w:t>
            </w:r>
          </w:p>
        </w:tc>
        <w:tc>
          <w:tcPr>
            <w:tcW w:w="645" w:type="dxa"/>
            <w:vMerge w:val="restart"/>
            <w:vAlign w:val="center"/>
          </w:tcPr>
          <w:p>
            <w:pPr>
              <w:pStyle w:val="175"/>
              <w:framePr w:wrap="around"/>
            </w:pPr>
            <w:r>
              <w:rPr>
                <w:rFonts w:hint="eastAsia"/>
              </w:rPr>
              <w:t>三、产品提取</w:t>
            </w:r>
          </w:p>
        </w:tc>
        <w:tc>
          <w:tcPr>
            <w:tcW w:w="1838" w:type="dxa"/>
            <w:vMerge w:val="restart"/>
            <w:vAlign w:val="center"/>
          </w:tcPr>
          <w:p>
            <w:pPr>
              <w:pStyle w:val="175"/>
              <w:framePr w:wrap="around"/>
            </w:pPr>
            <w:r>
              <w:rPr>
                <w:rFonts w:hint="eastAsia"/>
              </w:rPr>
              <w:t>（一）设备准备</w:t>
            </w:r>
          </w:p>
          <w:p>
            <w:pPr>
              <w:pStyle w:val="175"/>
              <w:framePr w:wrap="around"/>
            </w:pPr>
            <w:r>
              <w:rPr>
                <w:rFonts w:hint="eastAsia"/>
              </w:rPr>
              <w:t>（二）物料准备</w:t>
            </w:r>
          </w:p>
          <w:p>
            <w:pPr>
              <w:pStyle w:val="175"/>
              <w:framePr w:wrap="around"/>
            </w:pPr>
            <w:r>
              <w:rPr>
                <w:rFonts w:hint="eastAsia"/>
              </w:rPr>
              <w:t>（三）过滤</w:t>
            </w:r>
          </w:p>
          <w:p>
            <w:pPr>
              <w:pStyle w:val="175"/>
              <w:framePr w:wrap="around"/>
            </w:pPr>
            <w:r>
              <w:rPr>
                <w:rFonts w:hint="eastAsia"/>
              </w:rPr>
              <w:t>（四）浓缩</w:t>
            </w:r>
          </w:p>
          <w:p>
            <w:pPr>
              <w:pStyle w:val="175"/>
              <w:framePr w:wrap="around"/>
            </w:pPr>
            <w:r>
              <w:rPr>
                <w:rFonts w:hint="eastAsia"/>
              </w:rPr>
              <w:t>（五）干燥</w:t>
            </w:r>
          </w:p>
          <w:p>
            <w:pPr>
              <w:pStyle w:val="175"/>
              <w:framePr w:wrap="around"/>
            </w:pPr>
            <w:r>
              <w:rPr>
                <w:rFonts w:hint="eastAsia"/>
              </w:rPr>
              <w:t>（六）混合配制</w:t>
            </w:r>
          </w:p>
          <w:p>
            <w:pPr>
              <w:pStyle w:val="175"/>
              <w:framePr w:wrap="around"/>
            </w:pPr>
            <w:r>
              <w:rPr>
                <w:rFonts w:hint="eastAsia"/>
              </w:rPr>
              <w:t>（七）成品包装</w:t>
            </w:r>
          </w:p>
        </w:tc>
        <w:tc>
          <w:tcPr>
            <w:tcW w:w="664" w:type="dxa"/>
            <w:vMerge w:val="restart"/>
            <w:vAlign w:val="center"/>
          </w:tcPr>
          <w:p>
            <w:pPr>
              <w:pStyle w:val="175"/>
              <w:framePr w:wrap="around"/>
            </w:pPr>
            <w:r>
              <w:rPr>
                <w:rFonts w:hint="eastAsia"/>
              </w:rPr>
              <w:t>三、产品提取</w:t>
            </w:r>
          </w:p>
        </w:tc>
        <w:tc>
          <w:tcPr>
            <w:tcW w:w="1800" w:type="dxa"/>
            <w:vMerge w:val="restart"/>
            <w:vAlign w:val="center"/>
          </w:tcPr>
          <w:p>
            <w:pPr>
              <w:pStyle w:val="175"/>
              <w:framePr w:wrap="around"/>
            </w:pPr>
            <w:r>
              <w:rPr>
                <w:rFonts w:hint="eastAsia"/>
              </w:rPr>
              <w:t>（一）物料准备</w:t>
            </w:r>
          </w:p>
          <w:p>
            <w:pPr>
              <w:pStyle w:val="175"/>
              <w:framePr w:wrap="around"/>
            </w:pPr>
            <w:r>
              <w:rPr>
                <w:rFonts w:hint="eastAsia"/>
              </w:rPr>
              <w:t>（二）过滤</w:t>
            </w:r>
          </w:p>
          <w:p>
            <w:pPr>
              <w:pStyle w:val="175"/>
              <w:framePr w:wrap="around"/>
            </w:pPr>
            <w:r>
              <w:rPr>
                <w:rFonts w:hint="eastAsia"/>
              </w:rPr>
              <w:t>（三）浓缩</w:t>
            </w:r>
          </w:p>
          <w:p>
            <w:pPr>
              <w:pStyle w:val="175"/>
              <w:framePr w:wrap="around"/>
            </w:pPr>
            <w:r>
              <w:rPr>
                <w:rFonts w:hint="eastAsia"/>
              </w:rPr>
              <w:t>（四）造粒</w:t>
            </w:r>
          </w:p>
          <w:p>
            <w:pPr>
              <w:pStyle w:val="175"/>
              <w:framePr w:wrap="around"/>
            </w:pPr>
            <w:r>
              <w:rPr>
                <w:rFonts w:hint="eastAsia"/>
              </w:rPr>
              <w:t>（五）干燥</w:t>
            </w:r>
          </w:p>
          <w:p>
            <w:pPr>
              <w:pStyle w:val="175"/>
              <w:framePr w:wrap="around"/>
            </w:pPr>
            <w:r>
              <w:rPr>
                <w:rFonts w:hint="eastAsia"/>
              </w:rPr>
              <w:t>（六）混合配制</w:t>
            </w:r>
          </w:p>
          <w:p>
            <w:pPr>
              <w:pStyle w:val="175"/>
              <w:framePr w:wrap="around"/>
            </w:pPr>
            <w:r>
              <w:rPr>
                <w:rFonts w:hint="eastAsia"/>
              </w:rPr>
              <w:t>（七）成品包装</w:t>
            </w:r>
          </w:p>
        </w:tc>
        <w:tc>
          <w:tcPr>
            <w:tcW w:w="1363" w:type="dxa"/>
            <w:vAlign w:val="center"/>
          </w:tcPr>
          <w:p>
            <w:pPr>
              <w:pStyle w:val="175"/>
              <w:framePr w:wrap="around"/>
            </w:pPr>
            <w:r>
              <w:rPr>
                <w:rFonts w:hint="eastAsia"/>
              </w:rPr>
              <w:t>分离纯化技术</w:t>
            </w:r>
          </w:p>
        </w:tc>
        <w:tc>
          <w:tcPr>
            <w:tcW w:w="709" w:type="dxa"/>
            <w:vAlign w:val="center"/>
          </w:tcPr>
          <w:p>
            <w:pPr>
              <w:pStyle w:val="175"/>
              <w:framePr w:wrap="around"/>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4" w:hRule="atLeast"/>
        </w:trPr>
        <w:tc>
          <w:tcPr>
            <w:tcW w:w="624" w:type="dxa"/>
            <w:vMerge w:val="continue"/>
            <w:vAlign w:val="center"/>
          </w:tcPr>
          <w:p>
            <w:pPr>
              <w:pStyle w:val="175"/>
              <w:framePr w:wrap="around"/>
            </w:pPr>
          </w:p>
        </w:tc>
        <w:tc>
          <w:tcPr>
            <w:tcW w:w="1883" w:type="dxa"/>
            <w:vMerge w:val="continue"/>
            <w:vAlign w:val="center"/>
          </w:tcPr>
          <w:p>
            <w:pPr>
              <w:pStyle w:val="175"/>
              <w:framePr w:wrap="around"/>
            </w:pPr>
          </w:p>
        </w:tc>
        <w:tc>
          <w:tcPr>
            <w:tcW w:w="645" w:type="dxa"/>
            <w:vMerge w:val="continue"/>
            <w:vAlign w:val="center"/>
          </w:tcPr>
          <w:p>
            <w:pPr>
              <w:pStyle w:val="175"/>
              <w:framePr w:wrap="around"/>
            </w:pPr>
          </w:p>
        </w:tc>
        <w:tc>
          <w:tcPr>
            <w:tcW w:w="1838" w:type="dxa"/>
            <w:vMerge w:val="continue"/>
            <w:vAlign w:val="center"/>
          </w:tcPr>
          <w:p>
            <w:pPr>
              <w:pStyle w:val="175"/>
              <w:framePr w:wrap="around"/>
            </w:pPr>
          </w:p>
        </w:tc>
        <w:tc>
          <w:tcPr>
            <w:tcW w:w="664" w:type="dxa"/>
            <w:vMerge w:val="continue"/>
            <w:vAlign w:val="center"/>
          </w:tcPr>
          <w:p>
            <w:pPr>
              <w:pStyle w:val="175"/>
              <w:framePr w:wrap="around"/>
            </w:pPr>
          </w:p>
        </w:tc>
        <w:tc>
          <w:tcPr>
            <w:tcW w:w="1800" w:type="dxa"/>
            <w:vMerge w:val="continue"/>
            <w:vAlign w:val="center"/>
          </w:tcPr>
          <w:p>
            <w:pPr>
              <w:pStyle w:val="175"/>
              <w:framePr w:wrap="around"/>
            </w:pPr>
          </w:p>
        </w:tc>
        <w:tc>
          <w:tcPr>
            <w:tcW w:w="1363" w:type="dxa"/>
            <w:vAlign w:val="center"/>
          </w:tcPr>
          <w:p>
            <w:pPr>
              <w:pStyle w:val="175"/>
              <w:framePr w:wrap="around"/>
            </w:pPr>
            <w:r>
              <w:t>生物技术技能实训</w:t>
            </w:r>
          </w:p>
        </w:tc>
        <w:tc>
          <w:tcPr>
            <w:tcW w:w="709" w:type="dxa"/>
            <w:vAlign w:val="center"/>
          </w:tcPr>
          <w:p>
            <w:pPr>
              <w:pStyle w:val="175"/>
              <w:framePr w:wrap="around"/>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trPr>
        <w:tc>
          <w:tcPr>
            <w:tcW w:w="624" w:type="dxa"/>
            <w:vMerge w:val="restart"/>
            <w:vAlign w:val="center"/>
          </w:tcPr>
          <w:p>
            <w:pPr>
              <w:pStyle w:val="175"/>
              <w:framePr w:wrap="around"/>
            </w:pPr>
            <w:r>
              <w:t>四、</w:t>
            </w:r>
            <w:r>
              <w:rPr>
                <w:rFonts w:hint="eastAsia"/>
              </w:rPr>
              <w:t>分析检验</w:t>
            </w:r>
          </w:p>
          <w:p>
            <w:pPr>
              <w:pStyle w:val="175"/>
              <w:framePr w:wrap="around"/>
            </w:pPr>
          </w:p>
        </w:tc>
        <w:tc>
          <w:tcPr>
            <w:tcW w:w="1883" w:type="dxa"/>
            <w:vMerge w:val="restart"/>
            <w:vAlign w:val="center"/>
          </w:tcPr>
          <w:p>
            <w:pPr>
              <w:pStyle w:val="175"/>
              <w:framePr w:wrap="around"/>
            </w:pPr>
            <w:r>
              <w:rPr>
                <w:rFonts w:hint="eastAsia"/>
              </w:rPr>
              <w:t>（一）检验准备</w:t>
            </w:r>
          </w:p>
          <w:p>
            <w:pPr>
              <w:pStyle w:val="175"/>
              <w:framePr w:wrap="around"/>
            </w:pPr>
            <w:r>
              <w:t>（二）</w:t>
            </w:r>
            <w:r>
              <w:rPr>
                <w:rFonts w:hint="eastAsia"/>
              </w:rPr>
              <w:t>原材料检验</w:t>
            </w:r>
          </w:p>
          <w:p>
            <w:pPr>
              <w:pStyle w:val="175"/>
              <w:framePr w:wrap="around"/>
            </w:pPr>
            <w:r>
              <w:rPr>
                <w:rFonts w:hint="eastAsia"/>
              </w:rPr>
              <w:t>（三）在制品检验</w:t>
            </w:r>
          </w:p>
          <w:p>
            <w:pPr>
              <w:pStyle w:val="175"/>
              <w:framePr w:wrap="around"/>
            </w:pPr>
            <w:r>
              <w:rPr>
                <w:rFonts w:hint="eastAsia"/>
              </w:rPr>
              <w:t>（四）成品检验</w:t>
            </w:r>
          </w:p>
        </w:tc>
        <w:tc>
          <w:tcPr>
            <w:tcW w:w="645" w:type="dxa"/>
            <w:vMerge w:val="restart"/>
            <w:vAlign w:val="center"/>
          </w:tcPr>
          <w:p>
            <w:pPr>
              <w:pStyle w:val="175"/>
              <w:framePr w:wrap="around"/>
              <w:rPr>
                <w:rFonts w:cs="宋体"/>
              </w:rPr>
            </w:pPr>
            <w:r>
              <w:rPr>
                <w:rFonts w:hint="eastAsia"/>
              </w:rPr>
              <w:t>四、分析检验</w:t>
            </w:r>
          </w:p>
        </w:tc>
        <w:tc>
          <w:tcPr>
            <w:tcW w:w="1838" w:type="dxa"/>
            <w:vMerge w:val="restart"/>
            <w:vAlign w:val="center"/>
          </w:tcPr>
          <w:p>
            <w:pPr>
              <w:pStyle w:val="175"/>
              <w:framePr w:wrap="around"/>
              <w:rPr>
                <w:rFonts w:cs="宋体"/>
              </w:rPr>
            </w:pPr>
            <w:r>
              <w:rPr>
                <w:rFonts w:hint="eastAsia"/>
              </w:rPr>
              <w:t>（一）检验准备</w:t>
            </w:r>
          </w:p>
          <w:p>
            <w:pPr>
              <w:pStyle w:val="175"/>
              <w:framePr w:wrap="around"/>
            </w:pPr>
            <w:r>
              <w:rPr>
                <w:rFonts w:hint="eastAsia"/>
              </w:rPr>
              <w:t>（二）原材料检验</w:t>
            </w:r>
          </w:p>
          <w:p>
            <w:pPr>
              <w:pStyle w:val="175"/>
              <w:framePr w:wrap="around"/>
            </w:pPr>
            <w:r>
              <w:rPr>
                <w:rFonts w:hint="eastAsia"/>
              </w:rPr>
              <w:t>（三）在制品检验</w:t>
            </w:r>
          </w:p>
          <w:p>
            <w:pPr>
              <w:pStyle w:val="175"/>
              <w:framePr w:wrap="around"/>
              <w:rPr>
                <w:rFonts w:cs="宋体"/>
              </w:rPr>
            </w:pPr>
            <w:r>
              <w:rPr>
                <w:rFonts w:hint="eastAsia"/>
              </w:rPr>
              <w:t>（四）成品检验</w:t>
            </w:r>
          </w:p>
        </w:tc>
        <w:tc>
          <w:tcPr>
            <w:tcW w:w="664" w:type="dxa"/>
            <w:vMerge w:val="restart"/>
            <w:vAlign w:val="center"/>
          </w:tcPr>
          <w:p>
            <w:pPr>
              <w:pStyle w:val="175"/>
              <w:framePr w:wrap="around"/>
              <w:rPr>
                <w:rFonts w:cs="宋体"/>
              </w:rPr>
            </w:pPr>
            <w:r>
              <w:rPr>
                <w:rFonts w:hint="eastAsia"/>
              </w:rPr>
              <w:t>四、分析检验</w:t>
            </w:r>
          </w:p>
        </w:tc>
        <w:tc>
          <w:tcPr>
            <w:tcW w:w="1800" w:type="dxa"/>
            <w:vMerge w:val="restart"/>
            <w:vAlign w:val="center"/>
          </w:tcPr>
          <w:p>
            <w:pPr>
              <w:pStyle w:val="175"/>
              <w:framePr w:wrap="around"/>
            </w:pPr>
            <w:r>
              <w:rPr>
                <w:rFonts w:hint="eastAsia"/>
              </w:rPr>
              <w:t>（一）检验准备</w:t>
            </w:r>
          </w:p>
          <w:p>
            <w:pPr>
              <w:pStyle w:val="175"/>
              <w:framePr w:wrap="around"/>
            </w:pPr>
            <w:r>
              <w:rPr>
                <w:rFonts w:hint="eastAsia"/>
              </w:rPr>
              <w:t>（二）原材料检验</w:t>
            </w:r>
          </w:p>
          <w:p>
            <w:pPr>
              <w:pStyle w:val="175"/>
              <w:framePr w:wrap="around"/>
            </w:pPr>
            <w:r>
              <w:rPr>
                <w:rFonts w:hint="eastAsia"/>
              </w:rPr>
              <w:t>（三）在制品检验</w:t>
            </w:r>
          </w:p>
          <w:p>
            <w:pPr>
              <w:pStyle w:val="175"/>
              <w:framePr w:wrap="around"/>
              <w:rPr>
                <w:rFonts w:cs="宋体"/>
              </w:rPr>
            </w:pPr>
            <w:r>
              <w:rPr>
                <w:rFonts w:hint="eastAsia"/>
              </w:rPr>
              <w:t>（四）成品检验</w:t>
            </w:r>
          </w:p>
        </w:tc>
        <w:tc>
          <w:tcPr>
            <w:tcW w:w="1363" w:type="dxa"/>
            <w:vAlign w:val="center"/>
          </w:tcPr>
          <w:p>
            <w:pPr>
              <w:pStyle w:val="175"/>
              <w:framePr w:wrap="around"/>
            </w:pPr>
            <w:r>
              <w:rPr>
                <w:rFonts w:hint="eastAsia"/>
              </w:rPr>
              <w:t>药物制剂技术</w:t>
            </w:r>
          </w:p>
        </w:tc>
        <w:tc>
          <w:tcPr>
            <w:tcW w:w="709" w:type="dxa"/>
            <w:vAlign w:val="center"/>
          </w:tcPr>
          <w:p>
            <w:pPr>
              <w:pStyle w:val="175"/>
              <w:framePr w:wrap="around"/>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624" w:type="dxa"/>
            <w:vMerge w:val="continue"/>
            <w:vAlign w:val="center"/>
          </w:tcPr>
          <w:p>
            <w:pPr>
              <w:pStyle w:val="175"/>
              <w:framePr w:wrap="around"/>
            </w:pPr>
          </w:p>
        </w:tc>
        <w:tc>
          <w:tcPr>
            <w:tcW w:w="1883" w:type="dxa"/>
            <w:vMerge w:val="continue"/>
            <w:vAlign w:val="center"/>
          </w:tcPr>
          <w:p>
            <w:pPr>
              <w:pStyle w:val="175"/>
              <w:framePr w:wrap="around"/>
            </w:pPr>
          </w:p>
        </w:tc>
        <w:tc>
          <w:tcPr>
            <w:tcW w:w="645" w:type="dxa"/>
            <w:vMerge w:val="continue"/>
            <w:vAlign w:val="center"/>
          </w:tcPr>
          <w:p>
            <w:pPr>
              <w:pStyle w:val="175"/>
              <w:framePr w:wrap="around"/>
            </w:pPr>
          </w:p>
        </w:tc>
        <w:tc>
          <w:tcPr>
            <w:tcW w:w="1838" w:type="dxa"/>
            <w:vMerge w:val="continue"/>
            <w:vAlign w:val="center"/>
          </w:tcPr>
          <w:p>
            <w:pPr>
              <w:pStyle w:val="175"/>
              <w:framePr w:wrap="around"/>
            </w:pPr>
          </w:p>
        </w:tc>
        <w:tc>
          <w:tcPr>
            <w:tcW w:w="664" w:type="dxa"/>
            <w:vMerge w:val="continue"/>
            <w:vAlign w:val="center"/>
          </w:tcPr>
          <w:p>
            <w:pPr>
              <w:pStyle w:val="175"/>
              <w:framePr w:wrap="around"/>
            </w:pPr>
          </w:p>
        </w:tc>
        <w:tc>
          <w:tcPr>
            <w:tcW w:w="1800" w:type="dxa"/>
            <w:vMerge w:val="continue"/>
            <w:vAlign w:val="center"/>
          </w:tcPr>
          <w:p>
            <w:pPr>
              <w:pStyle w:val="175"/>
              <w:framePr w:wrap="around"/>
            </w:pPr>
          </w:p>
        </w:tc>
        <w:tc>
          <w:tcPr>
            <w:tcW w:w="1363" w:type="dxa"/>
            <w:vAlign w:val="center"/>
          </w:tcPr>
          <w:p>
            <w:pPr>
              <w:pStyle w:val="175"/>
              <w:framePr w:wrap="around"/>
            </w:pPr>
            <w:r>
              <w:rPr>
                <w:rFonts w:hint="eastAsia"/>
              </w:rPr>
              <w:t>药物检测技术</w:t>
            </w:r>
          </w:p>
        </w:tc>
        <w:tc>
          <w:tcPr>
            <w:tcW w:w="709" w:type="dxa"/>
            <w:vAlign w:val="center"/>
          </w:tcPr>
          <w:p>
            <w:pPr>
              <w:pStyle w:val="175"/>
              <w:framePr w:wrap="around"/>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trPr>
        <w:tc>
          <w:tcPr>
            <w:tcW w:w="624" w:type="dxa"/>
            <w:vMerge w:val="continue"/>
            <w:vAlign w:val="center"/>
          </w:tcPr>
          <w:p>
            <w:pPr>
              <w:pStyle w:val="175"/>
              <w:framePr w:wrap="around"/>
            </w:pPr>
          </w:p>
        </w:tc>
        <w:tc>
          <w:tcPr>
            <w:tcW w:w="1883" w:type="dxa"/>
            <w:vMerge w:val="continue"/>
            <w:vAlign w:val="center"/>
          </w:tcPr>
          <w:p>
            <w:pPr>
              <w:pStyle w:val="175"/>
              <w:framePr w:wrap="around"/>
            </w:pPr>
          </w:p>
        </w:tc>
        <w:tc>
          <w:tcPr>
            <w:tcW w:w="645" w:type="dxa"/>
            <w:vMerge w:val="continue"/>
            <w:vAlign w:val="center"/>
          </w:tcPr>
          <w:p>
            <w:pPr>
              <w:pStyle w:val="175"/>
              <w:framePr w:wrap="around"/>
            </w:pPr>
          </w:p>
        </w:tc>
        <w:tc>
          <w:tcPr>
            <w:tcW w:w="1838" w:type="dxa"/>
            <w:vMerge w:val="continue"/>
            <w:vAlign w:val="center"/>
          </w:tcPr>
          <w:p>
            <w:pPr>
              <w:pStyle w:val="175"/>
              <w:framePr w:wrap="around"/>
            </w:pPr>
          </w:p>
        </w:tc>
        <w:tc>
          <w:tcPr>
            <w:tcW w:w="664" w:type="dxa"/>
            <w:vMerge w:val="continue"/>
            <w:vAlign w:val="center"/>
          </w:tcPr>
          <w:p>
            <w:pPr>
              <w:pStyle w:val="175"/>
              <w:framePr w:wrap="around"/>
            </w:pPr>
          </w:p>
        </w:tc>
        <w:tc>
          <w:tcPr>
            <w:tcW w:w="1800" w:type="dxa"/>
            <w:vMerge w:val="continue"/>
            <w:vAlign w:val="center"/>
          </w:tcPr>
          <w:p>
            <w:pPr>
              <w:pStyle w:val="175"/>
              <w:framePr w:wrap="around"/>
            </w:pPr>
          </w:p>
        </w:tc>
        <w:tc>
          <w:tcPr>
            <w:tcW w:w="1363" w:type="dxa"/>
            <w:vAlign w:val="center"/>
          </w:tcPr>
          <w:p>
            <w:pPr>
              <w:pStyle w:val="175"/>
              <w:framePr w:wrap="around"/>
            </w:pPr>
            <w:r>
              <w:rPr>
                <w:rFonts w:hint="eastAsia"/>
              </w:rPr>
              <w:t>制剂</w:t>
            </w:r>
          </w:p>
          <w:p>
            <w:pPr>
              <w:pStyle w:val="175"/>
              <w:framePr w:wrap="around"/>
            </w:pPr>
            <w:r>
              <w:rPr>
                <w:rFonts w:hint="eastAsia"/>
              </w:rPr>
              <w:t>制造岗位综合实训</w:t>
            </w:r>
          </w:p>
        </w:tc>
        <w:tc>
          <w:tcPr>
            <w:tcW w:w="709" w:type="dxa"/>
            <w:vAlign w:val="center"/>
          </w:tcPr>
          <w:p>
            <w:pPr>
              <w:pStyle w:val="175"/>
              <w:framePr w:wrap="around"/>
            </w:pPr>
            <w:r>
              <w:rPr>
                <w:rFonts w:hint="eastAsia"/>
              </w:rPr>
              <w:t>3</w:t>
            </w:r>
          </w:p>
        </w:tc>
      </w:tr>
    </w:tbl>
    <w:p>
      <w:pPr>
        <w:pStyle w:val="3"/>
        <w:ind w:firstLine="564"/>
        <w:rPr>
          <w:rFonts w:ascii="宋体" w:hAnsi="宋体"/>
          <w:szCs w:val="28"/>
        </w:rPr>
      </w:pPr>
      <w:bookmarkStart w:id="53" w:name="_Toc433837637"/>
      <w:bookmarkStart w:id="54" w:name="_Toc90889464"/>
      <w:bookmarkStart w:id="55" w:name="_Toc76494822"/>
      <w:bookmarkStart w:id="56" w:name="_Toc360873451"/>
      <w:bookmarkStart w:id="57" w:name="_Toc90896276"/>
      <w:r>
        <w:rPr>
          <w:rFonts w:hint="eastAsia" w:ascii="宋体" w:hAnsi="宋体"/>
          <w:szCs w:val="28"/>
        </w:rPr>
        <w:t>（二）教学进程安排与说明</w:t>
      </w:r>
      <w:bookmarkEnd w:id="53"/>
      <w:bookmarkEnd w:id="54"/>
      <w:bookmarkEnd w:id="55"/>
      <w:bookmarkEnd w:id="56"/>
      <w:bookmarkEnd w:id="57"/>
    </w:p>
    <w:p>
      <w:pPr>
        <w:ind w:firstLine="0" w:firstLineChars="0"/>
        <w:jc w:val="center"/>
      </w:pPr>
      <w:r>
        <w:rPr>
          <w:rFonts w:hint="eastAsia"/>
        </w:rPr>
        <w:t xml:space="preserve">生物制药技术三二分段专业 </w:t>
      </w:r>
      <w:r>
        <w:t>2021</w:t>
      </w:r>
      <w:r>
        <w:rPr>
          <w:rFonts w:hint="eastAsia"/>
        </w:rPr>
        <w:t>级课程教学进程表</w:t>
      </w:r>
    </w:p>
    <w:p>
      <w:pPr>
        <w:adjustRightInd w:val="0"/>
        <w:snapToGrid w:val="0"/>
        <w:ind w:firstLine="482"/>
        <w:rPr>
          <w:rFonts w:ascii="宋体" w:hAnsi="宋体" w:cs="宋体"/>
          <w:b/>
          <w:bCs/>
          <w:kern w:val="0"/>
        </w:rPr>
      </w:pPr>
      <w:r>
        <w:drawing>
          <wp:inline distT="0" distB="0" distL="0" distR="0">
            <wp:extent cx="5562600" cy="8157210"/>
            <wp:effectExtent l="0" t="0" r="0" b="0"/>
            <wp:docPr id="4" name="图片 4"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图片1.png图片1"/>
                    <pic:cNvPicPr>
                      <a:picLocks noChangeAspect="1" noChangeArrowheads="1"/>
                    </pic:cNvPicPr>
                  </pic:nvPicPr>
                  <pic:blipFill>
                    <a:blip r:embed="rId14"/>
                    <a:srcRect/>
                    <a:stretch>
                      <a:fillRect/>
                    </a:stretch>
                  </pic:blipFill>
                  <pic:spPr>
                    <a:xfrm>
                      <a:off x="0" y="0"/>
                      <a:ext cx="5565831" cy="8162357"/>
                    </a:xfrm>
                    <a:prstGeom prst="rect">
                      <a:avLst/>
                    </a:prstGeom>
                    <a:noFill/>
                    <a:ln>
                      <a:noFill/>
                    </a:ln>
                  </pic:spPr>
                </pic:pic>
              </a:graphicData>
            </a:graphic>
          </wp:inline>
        </w:drawing>
      </w:r>
    </w:p>
    <w:p>
      <w:pPr>
        <w:ind w:firstLine="0" w:firstLineChars="0"/>
        <w:jc w:val="center"/>
      </w:pPr>
      <w:bookmarkStart w:id="58" w:name="_Hlk82041141"/>
      <w:r>
        <w:rPr>
          <w:rFonts w:hint="eastAsia"/>
        </w:rPr>
        <w:t>教学环节分配表</w:t>
      </w:r>
    </w:p>
    <w:bookmarkEnd w:id="58"/>
    <w:p>
      <w:pPr>
        <w:adjustRightInd w:val="0"/>
        <w:snapToGrid w:val="0"/>
        <w:ind w:firstLine="0" w:firstLineChars="0"/>
        <w:jc w:val="center"/>
        <w:rPr>
          <w:rFonts w:ascii="宋体" w:hAnsi="宋体" w:cs="宋体"/>
          <w:b/>
          <w:bCs/>
          <w:kern w:val="0"/>
        </w:rPr>
      </w:pPr>
      <w:r>
        <w:rPr>
          <w:rFonts w:ascii="宋体" w:hAnsi="宋体" w:cs="宋体"/>
          <w:b/>
          <w:bCs/>
          <w:kern w:val="0"/>
        </w:rPr>
        <w:drawing>
          <wp:inline distT="0" distB="0" distL="0" distR="0">
            <wp:extent cx="5070475" cy="2673985"/>
            <wp:effectExtent l="19050" t="19050" r="1587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70475" cy="2673985"/>
                    </a:xfrm>
                    <a:prstGeom prst="rect">
                      <a:avLst/>
                    </a:prstGeom>
                    <a:noFill/>
                    <a:ln w="3175">
                      <a:solidFill>
                        <a:schemeClr val="tx1"/>
                      </a:solidFill>
                    </a:ln>
                  </pic:spPr>
                </pic:pic>
              </a:graphicData>
            </a:graphic>
          </wp:inline>
        </w:drawing>
      </w:r>
    </w:p>
    <w:p>
      <w:pPr>
        <w:ind w:firstLine="0" w:firstLineChars="0"/>
        <w:jc w:val="center"/>
      </w:pPr>
      <w:r>
        <w:rPr>
          <w:rFonts w:hint="eastAsia"/>
        </w:rPr>
        <w:t>教学环节比例表</w:t>
      </w:r>
    </w:p>
    <w:p>
      <w:pPr>
        <w:ind w:firstLine="0" w:firstLineChars="0"/>
        <w:jc w:val="center"/>
      </w:pPr>
      <w:r>
        <w:drawing>
          <wp:inline distT="0" distB="0" distL="0" distR="0">
            <wp:extent cx="5548630" cy="26943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a:extLst>
                        <a:ext uri="{28A0092B-C50C-407E-A947-70E740481C1C}">
                          <a14:useLocalDpi xmlns:a14="http://schemas.microsoft.com/office/drawing/2010/main" val="0"/>
                        </a:ext>
                      </a:extLst>
                    </a:blip>
                    <a:srcRect r="2801" b="3112"/>
                    <a:stretch>
                      <a:fillRect/>
                    </a:stretch>
                  </pic:blipFill>
                  <pic:spPr>
                    <a:xfrm>
                      <a:off x="0" y="0"/>
                      <a:ext cx="5548746" cy="2694765"/>
                    </a:xfrm>
                    <a:prstGeom prst="rect">
                      <a:avLst/>
                    </a:prstGeom>
                    <a:noFill/>
                    <a:ln>
                      <a:noFill/>
                    </a:ln>
                  </pic:spPr>
                </pic:pic>
              </a:graphicData>
            </a:graphic>
          </wp:inline>
        </w:drawing>
      </w:r>
      <w:r>
        <w:rPr>
          <w:rFonts w:ascii="宋体" w:hAnsi="宋体"/>
        </w:rPr>
        <w:fldChar w:fldCharType="begin"/>
      </w:r>
      <w:r>
        <w:rPr>
          <w:rFonts w:ascii="宋体" w:hAnsi="宋体"/>
        </w:rPr>
        <w:instrText xml:space="preserve"> LINK Excel.Sheet.8 "C:\\Users\\刘慧军\\Downloads\\中职3+2人才培养方案 (1)\\生物制药技术（3+2）专业2021级进程表.xls" Sheet3!R1C1:R13C13 \a \f 5 \h  \* MERGEFORMAT </w:instrText>
      </w:r>
      <w:r>
        <w:rPr>
          <w:rFonts w:ascii="宋体" w:hAnsi="宋体"/>
        </w:rPr>
        <w:fldChar w:fldCharType="separate"/>
      </w:r>
    </w:p>
    <w:p>
      <w:pPr>
        <w:pStyle w:val="3"/>
        <w:ind w:firstLine="564"/>
      </w:pPr>
      <w:r>
        <w:fldChar w:fldCharType="end"/>
      </w:r>
      <w:bookmarkStart w:id="59" w:name="_Toc433837639"/>
      <w:bookmarkStart w:id="60" w:name="_Toc360873453"/>
      <w:bookmarkStart w:id="61" w:name="_Toc90896278"/>
      <w:bookmarkStart w:id="62" w:name="_Toc90889466"/>
      <w:bookmarkStart w:id="63" w:name="_Toc76494823"/>
      <w:r>
        <w:rPr>
          <w:rFonts w:hint="eastAsia"/>
        </w:rPr>
        <w:t>八、</w:t>
      </w:r>
      <w:bookmarkEnd w:id="59"/>
      <w:bookmarkEnd w:id="60"/>
      <w:r>
        <w:rPr>
          <w:rFonts w:hint="eastAsia"/>
        </w:rPr>
        <w:t>实施保障</w:t>
      </w:r>
      <w:bookmarkEnd w:id="61"/>
      <w:bookmarkEnd w:id="62"/>
      <w:bookmarkEnd w:id="63"/>
    </w:p>
    <w:p>
      <w:pPr>
        <w:pStyle w:val="3"/>
        <w:ind w:firstLine="564"/>
      </w:pPr>
      <w:bookmarkStart w:id="64" w:name="_Toc360873454"/>
      <w:bookmarkStart w:id="65" w:name="_Toc433837640"/>
      <w:bookmarkStart w:id="66" w:name="_Toc76494824"/>
      <w:bookmarkStart w:id="67" w:name="_Toc90889467"/>
      <w:bookmarkStart w:id="68" w:name="_Toc90896279"/>
      <w:r>
        <w:rPr>
          <w:rFonts w:hint="eastAsia"/>
        </w:rPr>
        <w:t>（一）</w:t>
      </w:r>
      <w:bookmarkEnd w:id="64"/>
      <w:bookmarkEnd w:id="65"/>
      <w:r>
        <w:rPr>
          <w:rFonts w:hint="eastAsia"/>
        </w:rPr>
        <w:t>师资队伍</w:t>
      </w:r>
      <w:bookmarkEnd w:id="66"/>
      <w:bookmarkEnd w:id="67"/>
      <w:bookmarkEnd w:id="68"/>
    </w:p>
    <w:p>
      <w:pPr>
        <w:pStyle w:val="4"/>
        <w:ind w:firstLine="484"/>
      </w:pPr>
      <w:bookmarkStart w:id="69" w:name="_Toc90889468"/>
      <w:bookmarkStart w:id="70" w:name="_Toc76494825"/>
      <w:bookmarkStart w:id="71" w:name="_Toc90896280"/>
      <w:r>
        <w:rPr>
          <w:rFonts w:hint="eastAsia"/>
        </w:rPr>
        <w:t>1.专任教师要求</w:t>
      </w:r>
      <w:bookmarkEnd w:id="69"/>
      <w:bookmarkEnd w:id="70"/>
      <w:bookmarkEnd w:id="71"/>
    </w:p>
    <w:p>
      <w:pPr>
        <w:ind w:firstLine="482"/>
      </w:pPr>
      <w:r>
        <w:rPr>
          <w:rFonts w:hint="eastAsia"/>
        </w:rPr>
        <w:t>本专业授课教师呈现职业道德优良、严谨治学，业务精湛、学历水平高，高级专业技术职称比例高等特点，稳定精良的教师队伍为我专业教育教学提供了有力的保障。</w:t>
      </w:r>
    </w:p>
    <w:p>
      <w:pPr>
        <w:ind w:firstLine="482"/>
      </w:pPr>
      <w:r>
        <w:rPr>
          <w:rFonts w:hint="eastAsia"/>
        </w:rPr>
        <w:t>职称结构：专任教师中具有副高及以上专业技术任职资格的比例达30%。根据专业发展规划，结合专业设置，确保每门职业技术课配备1～2名具有副高级及以上专业技术职务的专任教师。</w:t>
      </w:r>
    </w:p>
    <w:p>
      <w:pPr>
        <w:ind w:firstLine="482"/>
      </w:pPr>
      <w:r>
        <w:rPr>
          <w:rFonts w:hint="eastAsia"/>
        </w:rPr>
        <w:t>学历结构：专任教师具有硕士及以上学位比例达50%。</w:t>
      </w:r>
    </w:p>
    <w:p>
      <w:pPr>
        <w:ind w:firstLine="482"/>
      </w:pPr>
      <w:r>
        <w:rPr>
          <w:rFonts w:hint="eastAsia"/>
        </w:rPr>
        <w:t>双师结构：专业基础课和专业课专任教师中，双师素质教师比例达50%</w:t>
      </w:r>
      <w:bookmarkStart w:id="72" w:name="_Toc272247586"/>
      <w:bookmarkStart w:id="73" w:name="_Toc272243414"/>
      <w:r>
        <w:rPr>
          <w:rFonts w:hint="eastAsia"/>
        </w:rPr>
        <w:t>。</w:t>
      </w:r>
    </w:p>
    <w:p>
      <w:pPr>
        <w:ind w:firstLine="0" w:firstLineChars="0"/>
        <w:jc w:val="center"/>
      </w:pPr>
      <w:r>
        <w:rPr>
          <w:rFonts w:hint="eastAsia"/>
        </w:rPr>
        <w:t>表</w:t>
      </w:r>
      <w:r>
        <w:t>3</w:t>
      </w:r>
      <w:r>
        <w:rPr>
          <w:rFonts w:hint="eastAsia"/>
        </w:rPr>
        <w:t xml:space="preserve">  职业基础、职业技能主干课程教师情况一览表</w:t>
      </w:r>
    </w:p>
    <w:tbl>
      <w:tblPr>
        <w:tblStyle w:val="37"/>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10"/>
        <w:gridCol w:w="709"/>
        <w:gridCol w:w="992"/>
        <w:gridCol w:w="850"/>
        <w:gridCol w:w="667"/>
        <w:gridCol w:w="1034"/>
        <w:gridCol w:w="22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bookmarkStart w:id="74" w:name="_Toc527031495"/>
            <w:bookmarkStart w:id="75" w:name="_Toc13350"/>
            <w:r>
              <w:rPr>
                <w:rFonts w:hint="eastAsia"/>
                <w:sz w:val="21"/>
                <w:szCs w:val="21"/>
                <w:lang w:bidi="ar"/>
              </w:rPr>
              <w:t>序号</w:t>
            </w:r>
            <w:bookmarkEnd w:id="74"/>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姓名</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性别</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lang w:bidi="ar"/>
              </w:rPr>
            </w:pPr>
            <w:r>
              <w:rPr>
                <w:rFonts w:hint="eastAsia"/>
                <w:sz w:val="21"/>
                <w:szCs w:val="21"/>
                <w:lang w:bidi="ar"/>
              </w:rPr>
              <w:t>出生</w:t>
            </w:r>
          </w:p>
          <w:p>
            <w:pPr>
              <w:pStyle w:val="175"/>
              <w:framePr w:wrap="around"/>
              <w:rPr>
                <w:sz w:val="21"/>
                <w:szCs w:val="21"/>
              </w:rPr>
            </w:pPr>
            <w:r>
              <w:rPr>
                <w:rFonts w:hint="eastAsia"/>
                <w:sz w:val="21"/>
                <w:szCs w:val="21"/>
                <w:lang w:bidi="ar"/>
              </w:rPr>
              <w:t>年月</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学历</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学位</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职称</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双师证</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承担课程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1979-09</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副教授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发酵高级工、执业药师、工程师、酶制剂制造工考评员</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发酵制药技术</w:t>
            </w:r>
          </w:p>
          <w:p>
            <w:pPr>
              <w:pStyle w:val="175"/>
              <w:framePr w:wrap="around"/>
              <w:rPr>
                <w:sz w:val="21"/>
                <w:szCs w:val="21"/>
              </w:rPr>
            </w:pPr>
            <w:r>
              <w:rPr>
                <w:rFonts w:hint="eastAsia"/>
                <w:sz w:val="21"/>
                <w:szCs w:val="21"/>
                <w:lang w:bidi="ar"/>
              </w:rPr>
              <w:t>生物制药岗位综合实训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2</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1960-06</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教授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执业药师、药物分析工考评员、高级工程师</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分子生物学应用技术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3</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1964-12</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本科</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学士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副教授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执业药师、高级工程师</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4</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男</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1966-09</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本科</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学士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副教授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高级工程师</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人体解剖生理学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5</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1982-01</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本科</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学士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讲师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食品检验高级工</w:t>
            </w:r>
          </w:p>
          <w:p>
            <w:pPr>
              <w:pStyle w:val="175"/>
              <w:framePr w:wrap="around"/>
              <w:rPr>
                <w:sz w:val="21"/>
                <w:szCs w:val="21"/>
              </w:rPr>
            </w:pPr>
            <w:r>
              <w:rPr>
                <w:rFonts w:hint="eastAsia"/>
                <w:sz w:val="21"/>
                <w:szCs w:val="21"/>
                <w:lang w:bidi="ar"/>
              </w:rPr>
              <w:t>执业药师、工程师</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分离纯化技术</w:t>
            </w:r>
          </w:p>
          <w:p>
            <w:pPr>
              <w:pStyle w:val="175"/>
              <w:framePr w:wrap="around"/>
              <w:rPr>
                <w:sz w:val="21"/>
                <w:szCs w:val="21"/>
              </w:rPr>
            </w:pPr>
            <w:r>
              <w:rPr>
                <w:rFonts w:hint="eastAsia"/>
                <w:sz w:val="21"/>
                <w:szCs w:val="21"/>
                <w:lang w:bidi="ar"/>
              </w:rPr>
              <w:t>实用药理基础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6</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1980-10</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讲师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酶制剂制造工考评员</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医药行业卫生学基础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7</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男</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1985-05</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讲师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发酵高级工、执业药师</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药学微生物技术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8</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男</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1986-08</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讲师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执业药师</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生物药物检测技术</w:t>
            </w:r>
          </w:p>
          <w:p>
            <w:pPr>
              <w:pStyle w:val="175"/>
              <w:framePr w:wrap="around"/>
              <w:rPr>
                <w:sz w:val="21"/>
                <w:szCs w:val="21"/>
              </w:rPr>
            </w:pPr>
            <w:r>
              <w:rPr>
                <w:rFonts w:hint="eastAsia"/>
                <w:sz w:val="21"/>
                <w:szCs w:val="21"/>
                <w:lang w:bidi="ar"/>
              </w:rPr>
              <w:t>生物制药设备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9</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1988-02</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讲师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无</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生物药品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10</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男</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1973-09</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本科</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学士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讲师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工程师</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细胞培养技术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11</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1987-01</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讲师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酶制剂制造工</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生物制药岗位综合实训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12</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1980-07</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副教授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发酵高级工、酶制剂制造工考评员</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医药行业卫生学基础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0" w:type="dxa"/>
            <w:tcBorders>
              <w:top w:val="single" w:color="auto" w:sz="4" w:space="0"/>
              <w:left w:val="single" w:color="auto" w:sz="4" w:space="0"/>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13</w:t>
            </w:r>
          </w:p>
        </w:tc>
        <w:tc>
          <w:tcPr>
            <w:tcW w:w="91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xxx</w:t>
            </w:r>
          </w:p>
        </w:tc>
        <w:tc>
          <w:tcPr>
            <w:tcW w:w="709"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女</w:t>
            </w:r>
          </w:p>
        </w:tc>
        <w:tc>
          <w:tcPr>
            <w:tcW w:w="992"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1979-09</w:t>
            </w:r>
          </w:p>
        </w:tc>
        <w:tc>
          <w:tcPr>
            <w:tcW w:w="850"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研究生</w:t>
            </w:r>
          </w:p>
        </w:tc>
        <w:tc>
          <w:tcPr>
            <w:tcW w:w="667"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硕士</w:t>
            </w:r>
          </w:p>
        </w:tc>
        <w:tc>
          <w:tcPr>
            <w:tcW w:w="10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副教授</w:t>
            </w:r>
          </w:p>
        </w:tc>
        <w:tc>
          <w:tcPr>
            <w:tcW w:w="2234"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酶制剂制造工</w:t>
            </w:r>
          </w:p>
        </w:tc>
        <w:tc>
          <w:tcPr>
            <w:tcW w:w="2268" w:type="dxa"/>
            <w:tcBorders>
              <w:top w:val="single" w:color="auto" w:sz="4" w:space="0"/>
              <w:left w:val="nil"/>
              <w:bottom w:val="single" w:color="auto" w:sz="4" w:space="0"/>
              <w:right w:val="single" w:color="auto" w:sz="4" w:space="0"/>
            </w:tcBorders>
            <w:vAlign w:val="center"/>
          </w:tcPr>
          <w:p>
            <w:pPr>
              <w:pStyle w:val="175"/>
              <w:framePr w:wrap="around"/>
              <w:rPr>
                <w:sz w:val="21"/>
                <w:szCs w:val="21"/>
              </w:rPr>
            </w:pPr>
            <w:r>
              <w:rPr>
                <w:rFonts w:hint="eastAsia"/>
                <w:sz w:val="21"/>
                <w:szCs w:val="21"/>
                <w:lang w:bidi="ar"/>
              </w:rPr>
              <w:t>药事管理与法规</w:t>
            </w:r>
          </w:p>
        </w:tc>
      </w:tr>
      <w:bookmarkEnd w:id="72"/>
      <w:bookmarkEnd w:id="73"/>
      <w:bookmarkEnd w:id="75"/>
    </w:tbl>
    <w:p>
      <w:pPr>
        <w:pStyle w:val="4"/>
        <w:ind w:firstLine="484"/>
      </w:pPr>
      <w:bookmarkStart w:id="76" w:name="_Toc76494826"/>
      <w:bookmarkStart w:id="77" w:name="_Toc90889469"/>
      <w:bookmarkStart w:id="78" w:name="_Toc90896281"/>
      <w:r>
        <w:rPr>
          <w:rFonts w:hint="eastAsia"/>
        </w:rPr>
        <w:t>2.兼职教师要求</w:t>
      </w:r>
      <w:bookmarkEnd w:id="76"/>
      <w:bookmarkEnd w:id="77"/>
      <w:bookmarkEnd w:id="78"/>
    </w:p>
    <w:p>
      <w:pPr>
        <w:ind w:firstLine="482"/>
      </w:pPr>
      <w:bookmarkStart w:id="79" w:name="_Toc360873455"/>
      <w:r>
        <w:rPr>
          <w:rFonts w:hint="eastAsia"/>
        </w:rPr>
        <w:t>专兼结构：聘请行业、企业的专家和优秀人才担任兼职教师。</w:t>
      </w:r>
    </w:p>
    <w:p>
      <w:pPr>
        <w:ind w:firstLine="482"/>
        <w:rPr>
          <w:rFonts w:asciiTheme="minorEastAsia" w:hAnsiTheme="minorEastAsia" w:eastAsiaTheme="minorEastAsia"/>
          <w:b/>
          <w:bCs/>
        </w:rPr>
      </w:pPr>
      <w:bookmarkStart w:id="80" w:name="_Toc8708"/>
      <w:bookmarkStart w:id="81" w:name="_Toc527031497"/>
      <w:bookmarkStart w:id="82" w:name="_Toc76494827"/>
      <w:r>
        <w:rPr>
          <w:rFonts w:hint="eastAsia" w:asciiTheme="minorEastAsia" w:hAnsiTheme="minorEastAsia" w:eastAsiaTheme="minorEastAsia"/>
        </w:rPr>
        <w:t xml:space="preserve">（1）通过与行业企业建立长效合作机制，保证专业教学团队建设效果及持续发展。依靠校企双方的人力资源管理，通过建立“职教集团”、“教师工作站”等方式，为学校教师和企业兼职教师提供工作条件和环境，保障行业企业兼职教师的数量和质量以及学校专任教师企业实践的经常化和有效性。 </w:t>
      </w:r>
      <w:r>
        <w:rPr>
          <w:rFonts w:hint="eastAsia" w:asciiTheme="minorEastAsia" w:hAnsiTheme="minorEastAsia" w:eastAsiaTheme="minorEastAsia"/>
        </w:rPr>
        <w:br w:type="textWrapping"/>
      </w:r>
      <w:r>
        <w:rPr>
          <w:rFonts w:hint="eastAsia" w:asciiTheme="minorEastAsia" w:hAnsiTheme="minorEastAsia" w:eastAsiaTheme="minorEastAsia"/>
        </w:rPr>
        <w:t xml:space="preserve">   （2）重视专业教学团队的“双师”结构。以校企合作平台，专兼教师分工合作，共同参与专业人才培养方案开发、设计和实施。 </w:t>
      </w:r>
      <w:r>
        <w:rPr>
          <w:rFonts w:hint="eastAsia" w:asciiTheme="minorEastAsia" w:hAnsiTheme="minorEastAsia" w:eastAsiaTheme="minorEastAsia"/>
        </w:rPr>
        <w:br w:type="textWrapping"/>
      </w:r>
      <w:r>
        <w:rPr>
          <w:rFonts w:hint="eastAsia" w:asciiTheme="minorEastAsia" w:hAnsiTheme="minorEastAsia" w:eastAsiaTheme="minorEastAsia"/>
        </w:rPr>
        <w:t xml:space="preserve">   （3）采取双专业带头人。由学校专任教师和行业企业兼职教师共同担任专业带头人，学校专业带头人主要负责教学开发设计，制订团队建设规划和教师职业发展规划，进行团队管理；行业企业专业带头人主要负责及时跟踪技术发展趋势和行业动态，准确把握专业建设与教学改革方向，保持专业建设的领先水平。 </w:t>
      </w:r>
      <w:r>
        <w:rPr>
          <w:rFonts w:hint="eastAsia" w:asciiTheme="minorEastAsia" w:hAnsiTheme="minorEastAsia" w:eastAsiaTheme="minorEastAsia"/>
        </w:rPr>
        <w:br w:type="textWrapping"/>
      </w:r>
      <w:r>
        <w:rPr>
          <w:rFonts w:hint="eastAsia" w:asciiTheme="minorEastAsia" w:hAnsiTheme="minorEastAsia" w:eastAsiaTheme="minorEastAsia"/>
        </w:rPr>
        <w:t xml:space="preserve">   （4）采取任务驱动的教学培养方式。根据专业建设发展规划，针对教师个体特点，将培训目的与工作任务相结合，提高专任教师的教学开发能力，通过企业锻炼积累实践经验，兼职教师则主要提升其执教能力，融入教学环境。另外，专任教师和兼职教师可以通过项目开发与合作的方式开展面向社会的职业培训、技能鉴定、技术服务等，发挥团队人力资源和技术优势，不断提升团队水平。</w:t>
      </w:r>
      <w:bookmarkEnd w:id="80"/>
      <w:bookmarkEnd w:id="81"/>
      <w:bookmarkEnd w:id="82"/>
      <w:r>
        <w:rPr>
          <w:rFonts w:hint="eastAsia" w:asciiTheme="minorEastAsia" w:hAnsiTheme="minorEastAsia" w:eastAsiaTheme="minorEastAsia"/>
        </w:rPr>
        <w:t xml:space="preserve"> </w:t>
      </w:r>
    </w:p>
    <w:p>
      <w:pPr>
        <w:pStyle w:val="3"/>
        <w:ind w:firstLine="564"/>
      </w:pPr>
      <w:bookmarkStart w:id="83" w:name="_Toc76494828"/>
      <w:bookmarkStart w:id="84" w:name="_Toc90889470"/>
      <w:bookmarkStart w:id="85" w:name="_Toc433837643"/>
      <w:bookmarkStart w:id="86" w:name="_Toc90896282"/>
      <w:r>
        <w:rPr>
          <w:rFonts w:hint="eastAsia"/>
        </w:rPr>
        <w:t>（二）教学设施</w:t>
      </w:r>
      <w:bookmarkEnd w:id="79"/>
      <w:bookmarkEnd w:id="83"/>
      <w:bookmarkEnd w:id="84"/>
      <w:bookmarkEnd w:id="85"/>
      <w:bookmarkEnd w:id="86"/>
    </w:p>
    <w:p>
      <w:pPr>
        <w:ind w:firstLine="482"/>
      </w:pPr>
      <w:r>
        <w:rPr>
          <w:rFonts w:hint="eastAsia"/>
        </w:rPr>
        <w:t>随着学校近年来的迅速发展，学校的每年招生人数基本稳定，学校在注重发展的同时，为了提高教学质量和学生操作技能水平，加大了对教学仪器设备投入，添置了一大批较先进教学仪器设备，学校现有设备先进，设施齐全，拥有提供教学和专业技能训练所需的各种实验室、实训中心、片剂车间，先进的进口生物药物制备及检验设备等。</w:t>
      </w:r>
    </w:p>
    <w:p>
      <w:pPr>
        <w:ind w:firstLine="482"/>
      </w:pPr>
      <w:r>
        <w:rPr>
          <w:rFonts w:hint="eastAsia"/>
        </w:rPr>
        <w:t>学院每年投入一定的经费用于完善校内实训基地的设施、设备，专业调研和专业改革。十二五期间，学院为进一步提升生物制药技术三二分段专业的实训实验条件，申请了国家财政支持的生物制药实训基地建设经费， 2012年国家和天津xx集团共同投入1950万元经费用于我院生物制药技术三二分段专业实践教学。</w:t>
      </w:r>
    </w:p>
    <w:p>
      <w:pPr>
        <w:ind w:firstLine="482"/>
      </w:pPr>
      <w:r>
        <w:rPr>
          <w:rFonts w:hint="eastAsia"/>
        </w:rPr>
        <w:t>实践教学工作运行有实践教学工作资料准备和完善的实验室管理制度及实践教学过程的监督。</w:t>
      </w:r>
    </w:p>
    <w:p>
      <w:pPr>
        <w:ind w:firstLine="482"/>
      </w:pPr>
      <w:r>
        <w:rPr>
          <w:rFonts w:hint="eastAsia"/>
        </w:rPr>
        <w:t xml:space="preserve">校内实验实训内容与实际工作相结合，实验实训环境与职场环境相一致。本专业校外实训实习场地，可以满足学生实践及顶岗实习要求，详见表7。实验、实训课有专职指导教师。本专业聘请了解行业产业发展趋势、熟练掌握最新技术的企业行业一线技术人员担任兼职教师，已初步形成实践技能课程主要由具有相应高技能水平的兼职教师讲授的机制。   </w:t>
      </w:r>
    </w:p>
    <w:p>
      <w:pPr>
        <w:ind w:firstLine="482"/>
      </w:pPr>
      <w:bookmarkStart w:id="87" w:name="_Toc76494829"/>
      <w:bookmarkStart w:id="88" w:name="_Toc90889471"/>
      <w:bookmarkStart w:id="89" w:name="_Toc90896283"/>
      <w:bookmarkStart w:id="90" w:name="_Toc433837644"/>
      <w:r>
        <w:rPr>
          <w:rFonts w:hint="eastAsia"/>
        </w:rPr>
        <w:t>1.校内实训基地</w:t>
      </w:r>
      <w:bookmarkEnd w:id="87"/>
      <w:bookmarkEnd w:id="88"/>
      <w:bookmarkEnd w:id="89"/>
      <w:bookmarkEnd w:id="90"/>
    </w:p>
    <w:p>
      <w:pPr>
        <w:ind w:firstLine="482"/>
      </w:pPr>
      <w:r>
        <w:rPr>
          <w:rFonts w:hint="eastAsia"/>
        </w:rPr>
        <w:t xml:space="preserve">（1）根据专业培养目标和和基地建设发展规划，逐步开发出实训项目，尤其是综合实训项目。努力形成有稳定产品，有企业文化的实训、生产、研发、社会服务等多功能的生产性实训基地。 </w:t>
      </w:r>
      <w:r>
        <w:rPr>
          <w:rFonts w:hint="eastAsia"/>
        </w:rPr>
        <w:br w:type="textWrapping"/>
      </w:r>
      <w:r>
        <w:rPr>
          <w:rFonts w:hint="eastAsia"/>
        </w:rPr>
        <w:t xml:space="preserve">   （2）积极推进引企入校、校企共建校内实训基地，真正做到深度校企合作，实行企业主导或者学校主导的管理与运行模式。无论是哪一种模式，均以保证教学安排，培养学生为前提。 </w:t>
      </w:r>
    </w:p>
    <w:p>
      <w:pPr>
        <w:ind w:firstLine="482"/>
        <w:rPr>
          <w:b/>
        </w:rPr>
      </w:pPr>
      <w:r>
        <w:rPr>
          <w:rFonts w:hint="eastAsia"/>
        </w:rPr>
        <w:t>（3）实训设备应符合目前多数企业生物制药技术应用现状，并以生产型设备为主，辅以适量教学型仪器，可充分发挥仿真软件的作用。</w:t>
      </w:r>
    </w:p>
    <w:p>
      <w:pPr>
        <w:ind w:firstLine="482"/>
      </w:pPr>
      <w:r>
        <w:rPr>
          <w:rFonts w:hint="eastAsia"/>
        </w:rPr>
        <w:t>截止目前本专业形成完善的实验教学规章制度和科学的运行机制。新建和改造的实验及实训室有无机及分析化学实验室、医药基础实训室、微生物学实训室、生物化学实训室、药品生物检定实训室、药物化学实验室、药剂实训室、发酵制备技术实训车间、生物制药技术训练室。满足本专业学生实习实训之用及职业技能鉴定要求。</w:t>
      </w:r>
    </w:p>
    <w:p>
      <w:pPr>
        <w:ind w:firstLine="482"/>
        <w:rPr>
          <w:b/>
        </w:rPr>
      </w:pPr>
      <w:r>
        <w:rPr>
          <w:rFonts w:hint="eastAsia"/>
        </w:rPr>
        <w:t>本专业实训基地各项管理制度齐全，并执行良好。设备先进，具有真实的职业氛围和产学研一体化功能，满足学生职业技能、能力训练要求需要，仪器设备的利用率高。实验开出率和自开率均达100%。</w:t>
      </w:r>
    </w:p>
    <w:p>
      <w:pPr>
        <w:pStyle w:val="175"/>
        <w:framePr w:wrap="around"/>
      </w:pPr>
      <w:r>
        <w:rPr>
          <w:rFonts w:hint="eastAsia"/>
        </w:rPr>
        <w:t>表</w:t>
      </w:r>
      <w:r>
        <w:t xml:space="preserve">4 </w:t>
      </w:r>
      <w:r>
        <w:rPr>
          <w:rFonts w:hint="eastAsia"/>
        </w:rPr>
        <w:t xml:space="preserve"> 生物制药技术仪器设备一览表</w:t>
      </w:r>
    </w:p>
    <w:tbl>
      <w:tblPr>
        <w:tblStyle w:val="37"/>
        <w:tblW w:w="0" w:type="auto"/>
        <w:tblInd w:w="0" w:type="dxa"/>
        <w:tblLayout w:type="fixed"/>
        <w:tblCellMar>
          <w:top w:w="0" w:type="dxa"/>
          <w:left w:w="108" w:type="dxa"/>
          <w:bottom w:w="0" w:type="dxa"/>
          <w:right w:w="108" w:type="dxa"/>
        </w:tblCellMar>
      </w:tblPr>
      <w:tblGrid>
        <w:gridCol w:w="507"/>
        <w:gridCol w:w="703"/>
        <w:gridCol w:w="1455"/>
        <w:gridCol w:w="1800"/>
        <w:gridCol w:w="2886"/>
        <w:gridCol w:w="1817"/>
      </w:tblGrid>
      <w:tr>
        <w:tblPrEx>
          <w:tblCellMar>
            <w:top w:w="0" w:type="dxa"/>
            <w:left w:w="108" w:type="dxa"/>
            <w:bottom w:w="0" w:type="dxa"/>
            <w:right w:w="108" w:type="dxa"/>
          </w:tblCellMar>
        </w:tblPrEx>
        <w:trPr>
          <w:tblHeader/>
        </w:trPr>
        <w:tc>
          <w:tcPr>
            <w:tcW w:w="5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pPr>
            <w:r>
              <w:rPr>
                <w:rFonts w:hint="eastAsia"/>
              </w:rPr>
              <w:t>序号</w:t>
            </w:r>
          </w:p>
        </w:tc>
        <w:tc>
          <w:tcPr>
            <w:tcW w:w="70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pPr>
            <w:r>
              <w:rPr>
                <w:rFonts w:hint="eastAsia"/>
              </w:rPr>
              <w:t>课程名称</w:t>
            </w:r>
          </w:p>
        </w:tc>
        <w:tc>
          <w:tcPr>
            <w:tcW w:w="14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pPr>
            <w:r>
              <w:rPr>
                <w:rFonts w:hint="eastAsia"/>
              </w:rPr>
              <w:t>实验实训室名称</w:t>
            </w: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196" w:firstLineChars="82"/>
            </w:pPr>
            <w:r>
              <w:rPr>
                <w:rFonts w:hint="eastAsia"/>
              </w:rPr>
              <w:t>实训项目</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pPr>
            <w:r>
              <w:rPr>
                <w:rFonts w:hint="eastAsia"/>
              </w:rPr>
              <w:t>课程内容与目的</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pPr>
            <w:r>
              <w:rPr>
                <w:rFonts w:hint="eastAsia"/>
              </w:rPr>
              <w:t>主要仪器设备</w:t>
            </w:r>
          </w:p>
        </w:tc>
      </w:tr>
      <w:tr>
        <w:tblPrEx>
          <w:tblCellMar>
            <w:top w:w="0" w:type="dxa"/>
            <w:left w:w="108" w:type="dxa"/>
            <w:bottom w:w="0" w:type="dxa"/>
            <w:right w:w="108" w:type="dxa"/>
          </w:tblCellMar>
        </w:tblPrEx>
        <w:trPr>
          <w:trHeight w:val="471" w:hRule="atLeast"/>
        </w:trPr>
        <w:tc>
          <w:tcPr>
            <w:tcW w:w="50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1</w:t>
            </w:r>
          </w:p>
        </w:tc>
        <w:tc>
          <w:tcPr>
            <w:tcW w:w="703"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医药行业安全规范</w:t>
            </w:r>
          </w:p>
        </w:tc>
        <w:tc>
          <w:tcPr>
            <w:tcW w:w="1455"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rPr>
              <w:t>计算机模拟实训室</w:t>
            </w: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制药企业安全生产</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参观制药企业，结合生产实际进行安全教育</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计算机、软件</w:t>
            </w:r>
          </w:p>
        </w:tc>
      </w:tr>
      <w:tr>
        <w:tblPrEx>
          <w:tblCellMar>
            <w:top w:w="0" w:type="dxa"/>
            <w:left w:w="108" w:type="dxa"/>
            <w:bottom w:w="0" w:type="dxa"/>
            <w:right w:w="108" w:type="dxa"/>
          </w:tblCellMar>
        </w:tblPrEx>
        <w:trPr>
          <w:trHeight w:val="435"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消防基地</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参观消防基地进行防火等疏散演习</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计算机、软件</w:t>
            </w:r>
          </w:p>
        </w:tc>
      </w:tr>
      <w:tr>
        <w:tblPrEx>
          <w:tblCellMar>
            <w:top w:w="0" w:type="dxa"/>
            <w:left w:w="108" w:type="dxa"/>
            <w:bottom w:w="0" w:type="dxa"/>
            <w:right w:w="108" w:type="dxa"/>
          </w:tblCellMar>
        </w:tblPrEx>
        <w:trPr>
          <w:trHeight w:val="480"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模拟训练</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自备物品，找出易产生全隐患</w:t>
            </w:r>
          </w:p>
          <w:p>
            <w:pPr>
              <w:ind w:firstLine="0" w:firstLineChars="0"/>
              <w:rPr>
                <w:rFonts w:ascii="宋体" w:hAnsi="宋体" w:cs="宋体"/>
              </w:rPr>
            </w:pPr>
            <w:r>
              <w:rPr>
                <w:rFonts w:hint="eastAsia" w:ascii="宋体" w:hAnsi="宋体" w:cs="宋体"/>
              </w:rPr>
              <w:t>实际演练，火灾或地震时的疏散；</w:t>
            </w:r>
          </w:p>
          <w:p>
            <w:pPr>
              <w:ind w:firstLine="0" w:firstLineChars="0"/>
              <w:rPr>
                <w:rFonts w:ascii="宋体" w:hAnsi="宋体" w:cs="宋体"/>
              </w:rPr>
            </w:pPr>
            <w:r>
              <w:rPr>
                <w:rFonts w:hint="eastAsia" w:ascii="宋体" w:hAnsi="宋体" w:cs="宋体"/>
              </w:rPr>
              <w:t>以组为单位，设计火灾预案</w:t>
            </w:r>
          </w:p>
          <w:p>
            <w:pPr>
              <w:ind w:firstLine="0" w:firstLineChars="0"/>
              <w:rPr>
                <w:rFonts w:ascii="宋体" w:hAnsi="宋体" w:cs="宋体"/>
              </w:rPr>
            </w:pPr>
            <w:r>
              <w:rPr>
                <w:rFonts w:hint="eastAsia" w:ascii="宋体" w:hAnsi="宋体" w:cs="宋体"/>
              </w:rPr>
              <w:t>模拟火灾</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5个灭火器、灭火器防护服、防毒面具、胶鞋、简易抢救台、橡皮人，急救包等</w:t>
            </w:r>
          </w:p>
        </w:tc>
      </w:tr>
      <w:tr>
        <w:tblPrEx>
          <w:tblCellMar>
            <w:top w:w="0" w:type="dxa"/>
            <w:left w:w="108" w:type="dxa"/>
            <w:bottom w:w="0" w:type="dxa"/>
            <w:right w:w="108" w:type="dxa"/>
          </w:tblCellMar>
        </w:tblPrEx>
        <w:trPr>
          <w:trHeight w:val="285" w:hRule="atLeast"/>
        </w:trPr>
        <w:tc>
          <w:tcPr>
            <w:tcW w:w="50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2</w:t>
            </w:r>
          </w:p>
        </w:tc>
        <w:tc>
          <w:tcPr>
            <w:tcW w:w="703"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医药行业卫生学基础</w:t>
            </w:r>
          </w:p>
          <w:p>
            <w:pPr>
              <w:ind w:firstLine="482"/>
              <w:rPr>
                <w:rFonts w:ascii="宋体" w:hAnsi="宋体" w:cs="宋体"/>
              </w:rPr>
            </w:pPr>
          </w:p>
          <w:p>
            <w:pPr>
              <w:ind w:firstLine="482"/>
              <w:rPr>
                <w:rFonts w:ascii="宋体" w:hAnsi="宋体" w:cs="宋体"/>
              </w:rPr>
            </w:pPr>
          </w:p>
          <w:p>
            <w:pPr>
              <w:ind w:firstLine="482"/>
              <w:rPr>
                <w:rFonts w:ascii="宋体" w:hAnsi="宋体" w:cs="宋体"/>
              </w:rPr>
            </w:pPr>
          </w:p>
          <w:p>
            <w:pPr>
              <w:ind w:firstLine="482"/>
              <w:rPr>
                <w:rFonts w:ascii="宋体" w:hAnsi="宋体" w:cs="宋体"/>
              </w:rPr>
            </w:pPr>
          </w:p>
          <w:p>
            <w:pPr>
              <w:ind w:firstLine="482"/>
              <w:rPr>
                <w:rFonts w:ascii="宋体" w:hAnsi="宋体" w:cs="宋体"/>
              </w:rPr>
            </w:pPr>
          </w:p>
          <w:p>
            <w:pPr>
              <w:ind w:firstLine="482"/>
              <w:rPr>
                <w:rFonts w:ascii="宋体" w:hAnsi="宋体" w:cs="宋体"/>
              </w:rPr>
            </w:pPr>
          </w:p>
          <w:p>
            <w:pPr>
              <w:ind w:firstLine="482"/>
              <w:rPr>
                <w:rFonts w:ascii="宋体" w:hAnsi="宋体" w:cs="宋体"/>
              </w:rPr>
            </w:pPr>
          </w:p>
          <w:p>
            <w:pPr>
              <w:ind w:firstLine="482"/>
              <w:rPr>
                <w:rFonts w:ascii="宋体" w:hAnsi="宋体" w:cs="宋体"/>
              </w:rPr>
            </w:pPr>
          </w:p>
          <w:p>
            <w:pPr>
              <w:ind w:firstLine="482"/>
              <w:rPr>
                <w:rFonts w:ascii="宋体" w:hAnsi="宋体" w:cs="宋体"/>
              </w:rPr>
            </w:pPr>
          </w:p>
        </w:tc>
        <w:tc>
          <w:tcPr>
            <w:tcW w:w="1455" w:type="dxa"/>
            <w:vMerge w:val="restart"/>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医药行业卫生学基础实训室</w:t>
            </w:r>
          </w:p>
          <w:p>
            <w:pPr>
              <w:ind w:firstLine="0" w:firstLineChars="0"/>
              <w:rPr>
                <w:rFonts w:ascii="宋体" w:hAnsi="宋体" w:cs="宋体"/>
              </w:rPr>
            </w:pPr>
            <w:r>
              <w:rPr>
                <w:rFonts w:hint="eastAsia" w:ascii="宋体" w:hAnsi="宋体" w:cs="宋体"/>
              </w:rPr>
              <w:t>生物洁净室</w:t>
            </w:r>
          </w:p>
        </w:tc>
        <w:tc>
          <w:tcPr>
            <w:tcW w:w="180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洁净区作业</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洁净区更衣</w:t>
            </w:r>
          </w:p>
          <w:p>
            <w:pPr>
              <w:ind w:firstLine="0" w:firstLineChars="0"/>
              <w:rPr>
                <w:rFonts w:ascii="宋体" w:hAnsi="宋体" w:cs="宋体"/>
              </w:rPr>
            </w:pPr>
            <w:r>
              <w:rPr>
                <w:rFonts w:hint="eastAsia" w:ascii="宋体" w:hAnsi="宋体" w:cs="宋体"/>
              </w:rPr>
              <w:t>洁净区清洁</w:t>
            </w:r>
          </w:p>
          <w:p>
            <w:pPr>
              <w:ind w:firstLine="0" w:firstLineChars="0"/>
              <w:rPr>
                <w:rFonts w:ascii="宋体" w:hAnsi="宋体" w:cs="宋体"/>
              </w:rPr>
            </w:pPr>
            <w:r>
              <w:rPr>
                <w:rFonts w:hint="eastAsia" w:ascii="宋体" w:hAnsi="宋体" w:cs="宋体"/>
              </w:rPr>
              <w:t>洁净区清场</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鞋柜、衣柜、干手器、洁净服</w:t>
            </w:r>
          </w:p>
        </w:tc>
      </w:tr>
      <w:tr>
        <w:tblPrEx>
          <w:tblCellMar>
            <w:top w:w="0" w:type="dxa"/>
            <w:left w:w="108" w:type="dxa"/>
            <w:bottom w:w="0" w:type="dxa"/>
            <w:right w:w="108" w:type="dxa"/>
          </w:tblCellMar>
        </w:tblPrEx>
        <w:trPr>
          <w:trHeight w:val="1467"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培养基的配制</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培养基的种类</w:t>
            </w:r>
          </w:p>
          <w:p>
            <w:pPr>
              <w:ind w:firstLine="0" w:firstLineChars="0"/>
              <w:rPr>
                <w:rFonts w:ascii="宋体" w:hAnsi="宋体" w:cs="宋体"/>
              </w:rPr>
            </w:pPr>
            <w:r>
              <w:rPr>
                <w:rFonts w:hint="eastAsia" w:ascii="宋体" w:hAnsi="宋体" w:cs="宋体"/>
              </w:rPr>
              <w:t>玻璃器皿的包扎</w:t>
            </w:r>
          </w:p>
          <w:p>
            <w:pPr>
              <w:ind w:firstLine="0" w:firstLineChars="0"/>
              <w:rPr>
                <w:rFonts w:ascii="宋体" w:hAnsi="宋体" w:cs="宋体"/>
              </w:rPr>
            </w:pPr>
            <w:r>
              <w:rPr>
                <w:rFonts w:hint="eastAsia" w:ascii="宋体" w:hAnsi="宋体" w:cs="宋体"/>
              </w:rPr>
              <w:t>试剂的称量</w:t>
            </w:r>
          </w:p>
          <w:p>
            <w:pPr>
              <w:ind w:firstLine="0" w:firstLineChars="0"/>
              <w:rPr>
                <w:rFonts w:ascii="宋体" w:hAnsi="宋体" w:cs="宋体"/>
              </w:rPr>
            </w:pPr>
            <w:r>
              <w:rPr>
                <w:rFonts w:hint="eastAsia" w:ascii="宋体" w:hAnsi="宋体" w:cs="宋体"/>
              </w:rPr>
              <w:t>培养基的配制</w:t>
            </w:r>
          </w:p>
          <w:p>
            <w:pPr>
              <w:ind w:firstLine="0" w:firstLineChars="0"/>
              <w:rPr>
                <w:rFonts w:ascii="宋体" w:hAnsi="宋体" w:cs="宋体"/>
              </w:rPr>
            </w:pPr>
            <w:r>
              <w:rPr>
                <w:rFonts w:hint="eastAsia" w:ascii="宋体" w:hAnsi="宋体" w:cs="宋体"/>
              </w:rPr>
              <w:t>培养基的灭菌</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高压蒸汽灭菌器、微波炉、电子天平、地漏设施、</w:t>
            </w:r>
          </w:p>
        </w:tc>
      </w:tr>
      <w:tr>
        <w:tblPrEx>
          <w:tblCellMar>
            <w:top w:w="0" w:type="dxa"/>
            <w:left w:w="108" w:type="dxa"/>
            <w:bottom w:w="0" w:type="dxa"/>
            <w:right w:w="108" w:type="dxa"/>
          </w:tblCellMar>
        </w:tblPrEx>
        <w:trPr>
          <w:trHeight w:val="255"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环境微生物检查</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人体表面微生物的检查</w:t>
            </w:r>
          </w:p>
          <w:p>
            <w:pPr>
              <w:ind w:firstLine="0" w:firstLineChars="0"/>
              <w:rPr>
                <w:rFonts w:ascii="宋体" w:hAnsi="宋体" w:cs="宋体"/>
              </w:rPr>
            </w:pPr>
            <w:r>
              <w:rPr>
                <w:rFonts w:hint="eastAsia" w:ascii="宋体" w:hAnsi="宋体" w:cs="宋体"/>
              </w:rPr>
              <w:t>各种区域微生物检查</w:t>
            </w:r>
          </w:p>
          <w:p>
            <w:pPr>
              <w:ind w:firstLine="0" w:firstLineChars="0"/>
              <w:rPr>
                <w:rFonts w:ascii="宋体" w:hAnsi="宋体" w:cs="宋体"/>
              </w:rPr>
            </w:pPr>
            <w:r>
              <w:rPr>
                <w:rFonts w:hint="eastAsia" w:ascii="宋体" w:hAnsi="宋体" w:cs="宋体"/>
              </w:rPr>
              <w:t>空气沉降菌检查</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高压蒸汽灭菌锅、移液管、菌落计数仪</w:t>
            </w:r>
          </w:p>
        </w:tc>
      </w:tr>
      <w:tr>
        <w:tblPrEx>
          <w:tblCellMar>
            <w:top w:w="0" w:type="dxa"/>
            <w:left w:w="108" w:type="dxa"/>
            <w:bottom w:w="0" w:type="dxa"/>
            <w:right w:w="108" w:type="dxa"/>
          </w:tblCellMar>
        </w:tblPrEx>
        <w:trPr>
          <w:trHeight w:val="255"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消毒与灭菌</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消毒剂的配制</w:t>
            </w:r>
          </w:p>
          <w:p>
            <w:pPr>
              <w:ind w:firstLine="0" w:firstLineChars="0"/>
              <w:rPr>
                <w:rFonts w:ascii="宋体" w:hAnsi="宋体" w:cs="宋体"/>
              </w:rPr>
            </w:pPr>
            <w:r>
              <w:rPr>
                <w:rFonts w:hint="eastAsia" w:ascii="宋体" w:hAnsi="宋体" w:cs="宋体"/>
              </w:rPr>
              <w:t>消毒灭菌的方法</w:t>
            </w:r>
          </w:p>
          <w:p>
            <w:pPr>
              <w:ind w:firstLine="0" w:firstLineChars="0"/>
              <w:rPr>
                <w:rFonts w:ascii="宋体" w:hAnsi="宋体" w:cs="宋体"/>
              </w:rPr>
            </w:pPr>
            <w:r>
              <w:rPr>
                <w:rFonts w:hint="eastAsia" w:ascii="宋体" w:hAnsi="宋体" w:cs="宋体"/>
              </w:rPr>
              <w:t>清洁的步骤</w:t>
            </w:r>
          </w:p>
          <w:p>
            <w:pPr>
              <w:ind w:firstLine="0" w:firstLineChars="0"/>
              <w:rPr>
                <w:rFonts w:ascii="宋体" w:hAnsi="宋体" w:cs="宋体"/>
              </w:rPr>
            </w:pPr>
            <w:r>
              <w:rPr>
                <w:rFonts w:hint="eastAsia" w:ascii="宋体" w:hAnsi="宋体" w:cs="宋体"/>
              </w:rPr>
              <w:t>消毒的步骤</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紫外灯、高压蒸汽灭菌锅、消毒车、菌落计数仪</w:t>
            </w:r>
          </w:p>
        </w:tc>
      </w:tr>
      <w:tr>
        <w:tblPrEx>
          <w:tblCellMar>
            <w:top w:w="0" w:type="dxa"/>
            <w:left w:w="108" w:type="dxa"/>
            <w:bottom w:w="0" w:type="dxa"/>
            <w:right w:w="108" w:type="dxa"/>
          </w:tblCellMar>
        </w:tblPrEx>
        <w:trPr>
          <w:trHeight w:val="360"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消毒前后微生物存在对比</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报告消毒前后的微生物存在状况对比</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菌落计数仪</w:t>
            </w:r>
          </w:p>
        </w:tc>
      </w:tr>
      <w:tr>
        <w:tblPrEx>
          <w:tblCellMar>
            <w:top w:w="0" w:type="dxa"/>
            <w:left w:w="108" w:type="dxa"/>
            <w:bottom w:w="0" w:type="dxa"/>
            <w:right w:w="108" w:type="dxa"/>
          </w:tblCellMar>
        </w:tblPrEx>
        <w:trPr>
          <w:trHeight w:val="345" w:hRule="atLeast"/>
        </w:trPr>
        <w:tc>
          <w:tcPr>
            <w:tcW w:w="507" w:type="dxa"/>
            <w:vMerge w:val="restar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3</w:t>
            </w:r>
          </w:p>
        </w:tc>
        <w:tc>
          <w:tcPr>
            <w:tcW w:w="703" w:type="dxa"/>
            <w:vMerge w:val="restart"/>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药用微生物技术</w:t>
            </w:r>
          </w:p>
        </w:tc>
        <w:tc>
          <w:tcPr>
            <w:tcW w:w="1455" w:type="dxa"/>
            <w:vMerge w:val="restart"/>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微生物学实训室</w:t>
            </w:r>
          </w:p>
          <w:p>
            <w:pPr>
              <w:ind w:firstLine="0" w:firstLineChars="0"/>
              <w:rPr>
                <w:rFonts w:ascii="宋体" w:hAnsi="宋体" w:cs="宋体"/>
              </w:rPr>
            </w:pPr>
            <w:r>
              <w:rPr>
                <w:rFonts w:hint="eastAsia" w:ascii="宋体" w:hAnsi="宋体" w:cs="宋体"/>
              </w:rPr>
              <w:t>微生物洁净实训室</w:t>
            </w: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革兰氏染色技术</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染色材料</w:t>
            </w:r>
          </w:p>
          <w:p>
            <w:pPr>
              <w:ind w:firstLine="0" w:firstLineChars="0"/>
              <w:rPr>
                <w:rFonts w:ascii="宋体" w:hAnsi="宋体" w:cs="宋体"/>
              </w:rPr>
            </w:pPr>
            <w:r>
              <w:rPr>
                <w:rFonts w:hint="eastAsia" w:ascii="宋体" w:hAnsi="宋体" w:cs="宋体"/>
              </w:rPr>
              <w:t>染色方法</w:t>
            </w:r>
          </w:p>
          <w:p>
            <w:pPr>
              <w:ind w:firstLine="0" w:firstLineChars="0"/>
              <w:rPr>
                <w:rFonts w:ascii="宋体" w:hAnsi="宋体" w:cs="宋体"/>
              </w:rPr>
            </w:pPr>
            <w:r>
              <w:rPr>
                <w:rFonts w:hint="eastAsia" w:ascii="宋体" w:hAnsi="宋体" w:cs="宋体"/>
              </w:rPr>
              <w:t>注意事项</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显微镜、纱布、棉绳、标签、染色剂</w:t>
            </w:r>
          </w:p>
        </w:tc>
      </w:tr>
      <w:tr>
        <w:tblPrEx>
          <w:tblCellMar>
            <w:top w:w="0" w:type="dxa"/>
            <w:left w:w="108" w:type="dxa"/>
            <w:bottom w:w="0" w:type="dxa"/>
            <w:right w:w="108" w:type="dxa"/>
          </w:tblCellMar>
        </w:tblPrEx>
        <w:trPr>
          <w:trHeight w:val="300"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接种分离与培养技术</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斜面培养基接种法</w:t>
            </w:r>
          </w:p>
          <w:p>
            <w:pPr>
              <w:ind w:firstLine="0" w:firstLineChars="0"/>
              <w:rPr>
                <w:rFonts w:ascii="宋体" w:hAnsi="宋体" w:cs="宋体"/>
              </w:rPr>
            </w:pPr>
            <w:r>
              <w:rPr>
                <w:rFonts w:hint="eastAsia" w:ascii="宋体" w:hAnsi="宋体" w:cs="宋体"/>
              </w:rPr>
              <w:t>平板培养基接种法</w:t>
            </w:r>
          </w:p>
          <w:p>
            <w:pPr>
              <w:ind w:firstLine="0" w:firstLineChars="0"/>
              <w:rPr>
                <w:rFonts w:ascii="宋体" w:hAnsi="宋体" w:cs="宋体"/>
              </w:rPr>
            </w:pPr>
            <w:r>
              <w:rPr>
                <w:rFonts w:hint="eastAsia" w:ascii="宋体" w:hAnsi="宋体" w:cs="宋体"/>
              </w:rPr>
              <w:t>划线分离法</w:t>
            </w:r>
          </w:p>
          <w:p>
            <w:pPr>
              <w:ind w:firstLine="0" w:firstLineChars="0"/>
              <w:rPr>
                <w:rFonts w:ascii="宋体" w:hAnsi="宋体" w:cs="宋体"/>
              </w:rPr>
            </w:pPr>
            <w:r>
              <w:rPr>
                <w:rFonts w:hint="eastAsia" w:ascii="宋体" w:hAnsi="宋体" w:cs="宋体"/>
              </w:rPr>
              <w:t>涂布分离法</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酒精灯，超净工作台、接种环、接种针、移液管、涂布棒</w:t>
            </w:r>
          </w:p>
        </w:tc>
      </w:tr>
      <w:tr>
        <w:tblPrEx>
          <w:tblCellMar>
            <w:top w:w="0" w:type="dxa"/>
            <w:left w:w="108" w:type="dxa"/>
            <w:bottom w:w="0" w:type="dxa"/>
            <w:right w:w="108" w:type="dxa"/>
          </w:tblCellMar>
        </w:tblPrEx>
        <w:trPr>
          <w:trHeight w:val="300"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水中细菌总数的测定</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菌体总数的测定方法</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超净工作台、恒温恒湿培养箱</w:t>
            </w:r>
          </w:p>
        </w:tc>
      </w:tr>
      <w:tr>
        <w:tblPrEx>
          <w:tblCellMar>
            <w:top w:w="0" w:type="dxa"/>
            <w:left w:w="108" w:type="dxa"/>
            <w:bottom w:w="0" w:type="dxa"/>
            <w:right w:w="108" w:type="dxa"/>
          </w:tblCellMar>
        </w:tblPrEx>
        <w:trPr>
          <w:trHeight w:val="300"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水中大肠菌群的测定</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菌群的测定方法</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显微镜、超净工作台、恒温恒湿培养箱</w:t>
            </w:r>
          </w:p>
        </w:tc>
      </w:tr>
      <w:tr>
        <w:tblPrEx>
          <w:tblCellMar>
            <w:top w:w="0" w:type="dxa"/>
            <w:left w:w="108" w:type="dxa"/>
            <w:bottom w:w="0" w:type="dxa"/>
            <w:right w:w="108" w:type="dxa"/>
          </w:tblCellMar>
        </w:tblPrEx>
        <w:trPr>
          <w:trHeight w:val="300"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酵母细胞的显微技术</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酵母细胞的形态结构特点</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无菌玻璃涂棒，无菌吸管，接种环，显微镜，血细胞计数板</w:t>
            </w:r>
          </w:p>
        </w:tc>
      </w:tr>
      <w:tr>
        <w:tblPrEx>
          <w:tblCellMar>
            <w:top w:w="0" w:type="dxa"/>
            <w:left w:w="108" w:type="dxa"/>
            <w:bottom w:w="0" w:type="dxa"/>
            <w:right w:w="108" w:type="dxa"/>
          </w:tblCellMar>
        </w:tblPrEx>
        <w:trPr>
          <w:trHeight w:val="918" w:hRule="atLeast"/>
        </w:trPr>
        <w:tc>
          <w:tcPr>
            <w:tcW w:w="507" w:type="dxa"/>
            <w:vMerge w:val="restar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4</w:t>
            </w:r>
          </w:p>
        </w:tc>
        <w:tc>
          <w:tcPr>
            <w:tcW w:w="703" w:type="dxa"/>
            <w:vMerge w:val="restart"/>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分子生物学应用技术</w:t>
            </w:r>
          </w:p>
        </w:tc>
        <w:tc>
          <w:tcPr>
            <w:tcW w:w="1455" w:type="dxa"/>
            <w:vMerge w:val="restart"/>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分子生物学实训室</w:t>
            </w: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操作规范训练及实验准备</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微量移液器正确使用</w:t>
            </w:r>
          </w:p>
          <w:p>
            <w:pPr>
              <w:ind w:firstLine="0" w:firstLineChars="0"/>
              <w:rPr>
                <w:rFonts w:ascii="宋体" w:hAnsi="宋体" w:cs="宋体"/>
              </w:rPr>
            </w:pPr>
            <w:r>
              <w:rPr>
                <w:rFonts w:hint="eastAsia" w:ascii="宋体" w:hAnsi="宋体" w:cs="宋体"/>
              </w:rPr>
              <w:t>台式高速离心机正确使用</w:t>
            </w:r>
          </w:p>
          <w:p>
            <w:pPr>
              <w:ind w:firstLine="482"/>
              <w:rPr>
                <w:rFonts w:ascii="宋体" w:hAnsi="宋体" w:cs="宋体"/>
              </w:rPr>
            </w:pPr>
            <w:r>
              <w:rPr>
                <w:rFonts w:hint="eastAsia" w:ascii="宋体" w:hAnsi="宋体" w:cs="宋体"/>
              </w:rPr>
              <w:t>配试剂</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微量移液器、台式高速离心机、紫外分光光度计、紫外分析仪、制冰机</w:t>
            </w:r>
          </w:p>
        </w:tc>
      </w:tr>
      <w:tr>
        <w:tblPrEx>
          <w:tblCellMar>
            <w:top w:w="0" w:type="dxa"/>
            <w:left w:w="108" w:type="dxa"/>
            <w:bottom w:w="0" w:type="dxa"/>
            <w:right w:w="108" w:type="dxa"/>
          </w:tblCellMar>
        </w:tblPrEx>
        <w:trPr>
          <w:trHeight w:val="255"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DNA的提取</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植物基因组DNA</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研钵、微量移液器、枪头、台式高速离心、离心管</w:t>
            </w:r>
          </w:p>
        </w:tc>
      </w:tr>
      <w:tr>
        <w:tblPrEx>
          <w:tblCellMar>
            <w:top w:w="0" w:type="dxa"/>
            <w:left w:w="108" w:type="dxa"/>
            <w:bottom w:w="0" w:type="dxa"/>
            <w:right w:w="108" w:type="dxa"/>
          </w:tblCellMar>
        </w:tblPrEx>
        <w:trPr>
          <w:trHeight w:val="255"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检测、电泳</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紫外分光光度计检测</w:t>
            </w:r>
          </w:p>
          <w:p>
            <w:pPr>
              <w:ind w:firstLine="0" w:firstLineChars="0"/>
              <w:rPr>
                <w:rFonts w:ascii="宋体" w:hAnsi="宋体" w:cs="宋体"/>
              </w:rPr>
            </w:pPr>
            <w:r>
              <w:rPr>
                <w:rFonts w:hint="eastAsia" w:ascii="宋体" w:hAnsi="宋体" w:cs="宋体"/>
              </w:rPr>
              <w:t>DNA的琼脂糖凝胶电泳</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电泳仪、微量移液器、枪头、紫外分析仪、721紫外分光光度计</w:t>
            </w:r>
          </w:p>
        </w:tc>
      </w:tr>
      <w:tr>
        <w:tblPrEx>
          <w:tblCellMar>
            <w:top w:w="0" w:type="dxa"/>
            <w:left w:w="108" w:type="dxa"/>
            <w:bottom w:w="0" w:type="dxa"/>
            <w:right w:w="108" w:type="dxa"/>
          </w:tblCellMar>
        </w:tblPrEx>
        <w:trPr>
          <w:trHeight w:val="390"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多聚酶链式反应（PCR）基因扩增</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植物基因组DNA的 PCR</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PCR仪、微量移液器、枪头、台式高速离心、制冰机</w:t>
            </w:r>
          </w:p>
        </w:tc>
      </w:tr>
      <w:tr>
        <w:tblPrEx>
          <w:tblCellMar>
            <w:top w:w="0" w:type="dxa"/>
            <w:left w:w="108" w:type="dxa"/>
            <w:bottom w:w="0" w:type="dxa"/>
            <w:right w:w="108" w:type="dxa"/>
          </w:tblCellMar>
        </w:tblPrEx>
        <w:trPr>
          <w:trHeight w:val="225" w:hRule="atLeast"/>
        </w:trPr>
        <w:tc>
          <w:tcPr>
            <w:tcW w:w="50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PCR产物DNA检测</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紫外分光光度计检测</w:t>
            </w:r>
          </w:p>
          <w:p>
            <w:pPr>
              <w:ind w:firstLine="0" w:firstLineChars="0"/>
              <w:rPr>
                <w:rFonts w:ascii="宋体" w:hAnsi="宋体" w:cs="宋体"/>
              </w:rPr>
            </w:pPr>
            <w:r>
              <w:rPr>
                <w:rFonts w:hint="eastAsia" w:ascii="宋体" w:hAnsi="宋体" w:cs="宋体"/>
              </w:rPr>
              <w:t>电泳检测纯度</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电泳仪、微量移液器、枪头、紫外分析仪、721紫外分光光度计</w:t>
            </w:r>
          </w:p>
        </w:tc>
      </w:tr>
      <w:tr>
        <w:tblPrEx>
          <w:tblCellMar>
            <w:top w:w="0" w:type="dxa"/>
            <w:left w:w="108" w:type="dxa"/>
            <w:bottom w:w="0" w:type="dxa"/>
            <w:right w:w="108" w:type="dxa"/>
          </w:tblCellMar>
        </w:tblPrEx>
        <w:trPr>
          <w:trHeight w:val="334" w:hRule="atLeast"/>
        </w:trPr>
        <w:tc>
          <w:tcPr>
            <w:tcW w:w="50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5</w:t>
            </w:r>
          </w:p>
          <w:p>
            <w:pPr>
              <w:ind w:firstLine="482"/>
              <w:rPr>
                <w:rFonts w:ascii="宋体" w:hAnsi="宋体" w:cs="宋体"/>
              </w:rPr>
            </w:pPr>
          </w:p>
        </w:tc>
        <w:tc>
          <w:tcPr>
            <w:tcW w:w="703" w:type="dxa"/>
            <w:vMerge w:val="restart"/>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生物制药设备</w:t>
            </w:r>
          </w:p>
        </w:tc>
        <w:tc>
          <w:tcPr>
            <w:tcW w:w="145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计算机模拟实训室</w:t>
            </w:r>
          </w:p>
        </w:tc>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流体输送机械</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离心泵操作</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离心泵</w:t>
            </w:r>
          </w:p>
        </w:tc>
      </w:tr>
      <w:tr>
        <w:tblPrEx>
          <w:tblCellMar>
            <w:top w:w="0" w:type="dxa"/>
            <w:left w:w="108" w:type="dxa"/>
            <w:bottom w:w="0" w:type="dxa"/>
            <w:right w:w="108" w:type="dxa"/>
          </w:tblCellMar>
        </w:tblPrEx>
        <w:trPr>
          <w:trHeight w:val="424" w:hRule="atLeast"/>
        </w:trPr>
        <w:tc>
          <w:tcPr>
            <w:tcW w:w="507" w:type="dxa"/>
            <w:vMerge w:val="continue"/>
            <w:tcBorders>
              <w:left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nil"/>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换热设备</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管式换热器操作</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管式换热器</w:t>
            </w:r>
          </w:p>
        </w:tc>
      </w:tr>
      <w:tr>
        <w:tblPrEx>
          <w:tblCellMar>
            <w:top w:w="0" w:type="dxa"/>
            <w:left w:w="108" w:type="dxa"/>
            <w:bottom w:w="0" w:type="dxa"/>
            <w:right w:w="108" w:type="dxa"/>
          </w:tblCellMar>
        </w:tblPrEx>
        <w:trPr>
          <w:trHeight w:val="90"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相关设备介绍</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观察齿轮泵、离心式通风机、多层连续沉降机、转股真空过滤机的结构</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齿轮泵、离心式通风机、多层连续沉降机、转股真空过滤机</w:t>
            </w:r>
          </w:p>
        </w:tc>
      </w:tr>
      <w:tr>
        <w:tblPrEx>
          <w:tblCellMar>
            <w:top w:w="0" w:type="dxa"/>
            <w:left w:w="108" w:type="dxa"/>
            <w:bottom w:w="0" w:type="dxa"/>
            <w:right w:w="108" w:type="dxa"/>
          </w:tblCellMar>
        </w:tblPrEx>
        <w:trPr>
          <w:trHeight w:val="454"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流量测量仪表</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转子流量计操作</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转子流量计</w:t>
            </w:r>
          </w:p>
        </w:tc>
      </w:tr>
      <w:tr>
        <w:tblPrEx>
          <w:tblCellMar>
            <w:top w:w="0" w:type="dxa"/>
            <w:left w:w="108" w:type="dxa"/>
            <w:bottom w:w="0" w:type="dxa"/>
            <w:right w:w="108" w:type="dxa"/>
          </w:tblCellMar>
        </w:tblPrEx>
        <w:trPr>
          <w:trHeight w:val="821"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气体输送机械</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通风机操作</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通风机</w:t>
            </w:r>
          </w:p>
        </w:tc>
      </w:tr>
      <w:tr>
        <w:tblPrEx>
          <w:tblCellMar>
            <w:top w:w="0" w:type="dxa"/>
            <w:left w:w="108" w:type="dxa"/>
            <w:bottom w:w="0" w:type="dxa"/>
            <w:right w:w="108" w:type="dxa"/>
          </w:tblCellMar>
        </w:tblPrEx>
        <w:trPr>
          <w:trHeight w:val="375"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空气净化和调温调湿设备</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空气净化和调温调湿设备操作及验证</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空气净化设备、空气调温调湿设备</w:t>
            </w:r>
          </w:p>
        </w:tc>
      </w:tr>
      <w:tr>
        <w:tblPrEx>
          <w:tblCellMar>
            <w:top w:w="0" w:type="dxa"/>
            <w:left w:w="108" w:type="dxa"/>
            <w:bottom w:w="0" w:type="dxa"/>
            <w:right w:w="108" w:type="dxa"/>
          </w:tblCellMar>
        </w:tblPrEx>
        <w:trPr>
          <w:trHeight w:val="355"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制水设备</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制纯净水操作</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制水机</w:t>
            </w:r>
          </w:p>
        </w:tc>
      </w:tr>
      <w:tr>
        <w:tblPrEx>
          <w:tblCellMar>
            <w:top w:w="0" w:type="dxa"/>
            <w:left w:w="108" w:type="dxa"/>
            <w:bottom w:w="0" w:type="dxa"/>
            <w:right w:w="108" w:type="dxa"/>
          </w:tblCellMar>
        </w:tblPrEx>
        <w:trPr>
          <w:trHeight w:val="444"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植物成分提取</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提取、浓缩操作</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提取、浓缩罐</w:t>
            </w:r>
          </w:p>
        </w:tc>
      </w:tr>
      <w:tr>
        <w:tblPrEx>
          <w:tblCellMar>
            <w:top w:w="0" w:type="dxa"/>
            <w:left w:w="108" w:type="dxa"/>
            <w:bottom w:w="0" w:type="dxa"/>
            <w:right w:w="108" w:type="dxa"/>
          </w:tblCellMar>
        </w:tblPrEx>
        <w:trPr>
          <w:trHeight w:val="165" w:hRule="atLeast"/>
        </w:trPr>
        <w:tc>
          <w:tcPr>
            <w:tcW w:w="50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6</w:t>
            </w:r>
          </w:p>
        </w:tc>
        <w:tc>
          <w:tcPr>
            <w:tcW w:w="703"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细胞培养技术</w:t>
            </w:r>
          </w:p>
        </w:tc>
        <w:tc>
          <w:tcPr>
            <w:tcW w:w="1455"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细胞培养实训室</w:t>
            </w:r>
          </w:p>
        </w:tc>
        <w:tc>
          <w:tcPr>
            <w:tcW w:w="180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动物细胞的培养</w:t>
            </w: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培养用品的清洗、包装和灭菌</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高压蒸汽灭菌器</w:t>
            </w:r>
          </w:p>
        </w:tc>
      </w:tr>
      <w:tr>
        <w:tblPrEx>
          <w:tblCellMar>
            <w:top w:w="0" w:type="dxa"/>
            <w:left w:w="108" w:type="dxa"/>
            <w:bottom w:w="0" w:type="dxa"/>
            <w:right w:w="108" w:type="dxa"/>
          </w:tblCellMar>
        </w:tblPrEx>
        <w:trPr>
          <w:trHeight w:val="132"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培养用液的配置（培养基、PBS、胰酶、清洗酸液）</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超净工作台</w:t>
            </w:r>
          </w:p>
        </w:tc>
      </w:tr>
      <w:tr>
        <w:tblPrEx>
          <w:tblCellMar>
            <w:top w:w="0" w:type="dxa"/>
            <w:left w:w="108" w:type="dxa"/>
            <w:bottom w:w="0" w:type="dxa"/>
            <w:right w:w="108" w:type="dxa"/>
          </w:tblCellMar>
        </w:tblPrEx>
        <w:trPr>
          <w:trHeight w:val="132"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动物原代细胞培养</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CO2培养箱、生物安全柜</w:t>
            </w:r>
          </w:p>
        </w:tc>
      </w:tr>
      <w:tr>
        <w:tblPrEx>
          <w:tblCellMar>
            <w:top w:w="0" w:type="dxa"/>
            <w:left w:w="108" w:type="dxa"/>
            <w:bottom w:w="0" w:type="dxa"/>
            <w:right w:w="108" w:type="dxa"/>
          </w:tblCellMar>
        </w:tblPrEx>
        <w:trPr>
          <w:trHeight w:val="90" w:hRule="atLeast"/>
        </w:trPr>
        <w:tc>
          <w:tcPr>
            <w:tcW w:w="50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nil"/>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动物细胞形态的观察</w:t>
            </w:r>
          </w:p>
        </w:tc>
        <w:tc>
          <w:tcPr>
            <w:tcW w:w="1817" w:type="dxa"/>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倒置显微镜</w:t>
            </w:r>
          </w:p>
        </w:tc>
      </w:tr>
      <w:tr>
        <w:tblPrEx>
          <w:tblCellMar>
            <w:top w:w="0" w:type="dxa"/>
            <w:left w:w="108" w:type="dxa"/>
            <w:bottom w:w="0" w:type="dxa"/>
            <w:right w:w="108" w:type="dxa"/>
          </w:tblCellMar>
        </w:tblPrEx>
        <w:trPr>
          <w:trHeight w:val="255" w:hRule="atLeast"/>
        </w:trPr>
        <w:tc>
          <w:tcPr>
            <w:tcW w:w="507" w:type="dxa"/>
            <w:vMerge w:val="restart"/>
            <w:tcBorders>
              <w:top w:val="single" w:color="000000" w:sz="4" w:space="0"/>
              <w:left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7</w:t>
            </w:r>
          </w:p>
        </w:tc>
        <w:tc>
          <w:tcPr>
            <w:tcW w:w="703" w:type="dxa"/>
            <w:vMerge w:val="restart"/>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发酵制药技术※</w:t>
            </w:r>
          </w:p>
        </w:tc>
        <w:tc>
          <w:tcPr>
            <w:tcW w:w="1455"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微生物扩培实训室</w:t>
            </w:r>
          </w:p>
          <w:p>
            <w:pPr>
              <w:ind w:firstLine="0" w:firstLineChars="0"/>
              <w:rPr>
                <w:rFonts w:ascii="宋体" w:hAnsi="宋体" w:cs="宋体"/>
              </w:rPr>
            </w:pPr>
            <w:r>
              <w:rPr>
                <w:rFonts w:hint="eastAsia" w:ascii="宋体" w:hAnsi="宋体" w:cs="宋体"/>
              </w:rPr>
              <w:t>菌种培育保藏实训室</w:t>
            </w:r>
          </w:p>
          <w:p>
            <w:pPr>
              <w:ind w:firstLine="482"/>
              <w:rPr>
                <w:rFonts w:ascii="宋体" w:hAnsi="宋体" w:cs="宋体"/>
              </w:rPr>
            </w:pPr>
          </w:p>
        </w:tc>
        <w:tc>
          <w:tcPr>
            <w:tcW w:w="1800"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大肠杆菌的扩大培养</w:t>
            </w:r>
          </w:p>
        </w:tc>
        <w:tc>
          <w:tcPr>
            <w:tcW w:w="2886" w:type="dxa"/>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无菌器材的灭菌与包扎</w:t>
            </w:r>
          </w:p>
          <w:p>
            <w:pPr>
              <w:ind w:firstLine="0" w:firstLineChars="0"/>
              <w:rPr>
                <w:rFonts w:ascii="宋体" w:hAnsi="宋体" w:cs="宋体"/>
              </w:rPr>
            </w:pPr>
            <w:r>
              <w:rPr>
                <w:rFonts w:hint="eastAsia" w:ascii="宋体" w:hAnsi="宋体" w:cs="宋体"/>
              </w:rPr>
              <w:t>固体LB培养基的制备</w:t>
            </w:r>
          </w:p>
          <w:p>
            <w:pPr>
              <w:ind w:firstLine="0" w:firstLineChars="0"/>
              <w:rPr>
                <w:rFonts w:ascii="宋体" w:hAnsi="宋体" w:cs="宋体"/>
              </w:rPr>
            </w:pPr>
            <w:r>
              <w:rPr>
                <w:rFonts w:hint="eastAsia" w:ascii="宋体" w:hAnsi="宋体" w:cs="宋体"/>
              </w:rPr>
              <w:t>倒平板</w:t>
            </w:r>
          </w:p>
          <w:p>
            <w:pPr>
              <w:ind w:firstLine="0" w:firstLineChars="0"/>
              <w:rPr>
                <w:rFonts w:ascii="宋体" w:hAnsi="宋体" w:cs="宋体"/>
              </w:rPr>
            </w:pPr>
            <w:r>
              <w:rPr>
                <w:rFonts w:hint="eastAsia" w:ascii="宋体" w:hAnsi="宋体" w:cs="宋体"/>
              </w:rPr>
              <w:t>三区划线接种培养</w:t>
            </w:r>
          </w:p>
          <w:p>
            <w:pPr>
              <w:ind w:firstLine="0" w:firstLineChars="0"/>
              <w:rPr>
                <w:rFonts w:ascii="宋体" w:hAnsi="宋体" w:cs="宋体"/>
              </w:rPr>
            </w:pPr>
            <w:r>
              <w:rPr>
                <w:rFonts w:hint="eastAsia" w:ascii="宋体" w:hAnsi="宋体" w:cs="宋体"/>
              </w:rPr>
              <w:t>液体LB培养基的制备</w:t>
            </w:r>
          </w:p>
          <w:p>
            <w:pPr>
              <w:ind w:firstLine="0" w:firstLineChars="0"/>
              <w:rPr>
                <w:rFonts w:ascii="宋体" w:hAnsi="宋体" w:cs="宋体"/>
              </w:rPr>
            </w:pPr>
            <w:r>
              <w:rPr>
                <w:rFonts w:hint="eastAsia" w:ascii="宋体" w:hAnsi="宋体" w:cs="宋体"/>
              </w:rPr>
              <w:t>转接试管液体培养基培养</w:t>
            </w:r>
          </w:p>
          <w:p>
            <w:pPr>
              <w:ind w:firstLine="0" w:firstLineChars="0"/>
              <w:rPr>
                <w:rFonts w:ascii="宋体" w:hAnsi="宋体" w:cs="宋体"/>
              </w:rPr>
            </w:pPr>
            <w:r>
              <w:rPr>
                <w:rFonts w:hint="eastAsia" w:ascii="宋体" w:hAnsi="宋体" w:cs="宋体"/>
              </w:rPr>
              <w:t>种子扩大培养的过程</w:t>
            </w:r>
          </w:p>
        </w:tc>
        <w:tc>
          <w:tcPr>
            <w:tcW w:w="1817" w:type="dxa"/>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超净工作台、生化培养箱、微波炉、冰箱、摇床</w:t>
            </w:r>
          </w:p>
        </w:tc>
      </w:tr>
      <w:tr>
        <w:tblPrEx>
          <w:tblCellMar>
            <w:top w:w="0" w:type="dxa"/>
            <w:left w:w="108" w:type="dxa"/>
            <w:bottom w:w="0" w:type="dxa"/>
            <w:right w:w="108" w:type="dxa"/>
          </w:tblCellMar>
        </w:tblPrEx>
        <w:trPr>
          <w:trHeight w:val="255" w:hRule="atLeast"/>
        </w:trPr>
        <w:tc>
          <w:tcPr>
            <w:tcW w:w="507" w:type="dxa"/>
            <w:vMerge w:val="continue"/>
            <w:tcBorders>
              <w:left w:val="single" w:color="000000"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大肠杆菌生物量的测定</w:t>
            </w:r>
          </w:p>
        </w:tc>
        <w:tc>
          <w:tcPr>
            <w:tcW w:w="2886" w:type="dxa"/>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转接三角瓶液体培养基培养并进行浊度法测生物量</w:t>
            </w:r>
          </w:p>
          <w:p>
            <w:pPr>
              <w:ind w:firstLine="0" w:firstLineChars="0"/>
              <w:rPr>
                <w:rFonts w:ascii="宋体" w:hAnsi="宋体" w:cs="宋体"/>
              </w:rPr>
            </w:pPr>
            <w:r>
              <w:rPr>
                <w:rFonts w:hint="eastAsia" w:ascii="宋体" w:hAnsi="宋体" w:cs="宋体"/>
              </w:rPr>
              <w:t>绘制大肠杆菌生长曲线</w:t>
            </w:r>
          </w:p>
          <w:p>
            <w:pPr>
              <w:ind w:firstLine="0" w:firstLineChars="0"/>
              <w:rPr>
                <w:rFonts w:ascii="宋体" w:hAnsi="宋体" w:cs="宋体"/>
              </w:rPr>
            </w:pPr>
            <w:r>
              <w:rPr>
                <w:rFonts w:hint="eastAsia" w:ascii="宋体" w:hAnsi="宋体" w:cs="宋体"/>
              </w:rPr>
              <w:t>灭菌清场</w:t>
            </w:r>
          </w:p>
        </w:tc>
        <w:tc>
          <w:tcPr>
            <w:tcW w:w="1817" w:type="dxa"/>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超净工作台、摇床、高压蒸汽灭菌锅、721分光光度仪、</w:t>
            </w:r>
          </w:p>
        </w:tc>
      </w:tr>
      <w:tr>
        <w:tblPrEx>
          <w:tblCellMar>
            <w:top w:w="0" w:type="dxa"/>
            <w:left w:w="108" w:type="dxa"/>
            <w:bottom w:w="0" w:type="dxa"/>
            <w:right w:w="108" w:type="dxa"/>
          </w:tblCellMar>
        </w:tblPrEx>
        <w:trPr>
          <w:trHeight w:val="315" w:hRule="atLeast"/>
        </w:trPr>
        <w:tc>
          <w:tcPr>
            <w:tcW w:w="50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8</w:t>
            </w:r>
          </w:p>
        </w:tc>
        <w:tc>
          <w:tcPr>
            <w:tcW w:w="70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分离纯化技术*</w:t>
            </w:r>
          </w:p>
        </w:tc>
        <w:tc>
          <w:tcPr>
            <w:tcW w:w="145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分离纯化实训室</w:t>
            </w:r>
          </w:p>
        </w:tc>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甲壳素制备</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使用切割、粉碎、研磨等设备对动物植物微生物原材料进行预处理</w:t>
            </w:r>
          </w:p>
        </w:tc>
        <w:tc>
          <w:tcPr>
            <w:tcW w:w="18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烘箱、水浴锅、天平、磁力搅拌器、量筒、烧杯、试管、试管夹</w:t>
            </w:r>
          </w:p>
        </w:tc>
      </w:tr>
      <w:tr>
        <w:tblPrEx>
          <w:tblCellMar>
            <w:top w:w="0" w:type="dxa"/>
            <w:left w:w="108" w:type="dxa"/>
            <w:bottom w:w="0" w:type="dxa"/>
            <w:right w:w="108" w:type="dxa"/>
          </w:tblCellMar>
        </w:tblPrEx>
        <w:trPr>
          <w:trHeight w:val="348" w:hRule="atLeast"/>
        </w:trPr>
        <w:tc>
          <w:tcPr>
            <w:tcW w:w="507" w:type="dxa"/>
            <w:vMerge w:val="continue"/>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壳聚糖的制备</w:t>
            </w:r>
          </w:p>
        </w:tc>
        <w:tc>
          <w:tcPr>
            <w:tcW w:w="2886"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采用浸泡、分馏、过滤等分离技术提取纯化有用药用成分</w:t>
            </w:r>
          </w:p>
        </w:tc>
        <w:tc>
          <w:tcPr>
            <w:tcW w:w="1817"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机械搅拌器、三颈瓶(250mL) 、球形冷凝管 、 减压过滤装置、电炉与调压器、锥形瓶、水浴锅</w:t>
            </w:r>
          </w:p>
        </w:tc>
      </w:tr>
      <w:tr>
        <w:tblPrEx>
          <w:tblCellMar>
            <w:top w:w="0" w:type="dxa"/>
            <w:left w:w="108" w:type="dxa"/>
            <w:bottom w:w="0" w:type="dxa"/>
            <w:right w:w="108" w:type="dxa"/>
          </w:tblCellMar>
        </w:tblPrEx>
        <w:trPr>
          <w:trHeight w:val="336" w:hRule="atLeast"/>
        </w:trPr>
        <w:tc>
          <w:tcPr>
            <w:tcW w:w="507" w:type="dxa"/>
            <w:vMerge w:val="continue"/>
            <w:tcBorders>
              <w:top w:val="nil"/>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测壳聚糖的黏度</w:t>
            </w:r>
          </w:p>
        </w:tc>
        <w:tc>
          <w:tcPr>
            <w:tcW w:w="288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质量检测与考核</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旋转黏度计</w:t>
            </w:r>
          </w:p>
        </w:tc>
      </w:tr>
      <w:tr>
        <w:tblPrEx>
          <w:tblCellMar>
            <w:top w:w="0" w:type="dxa"/>
            <w:left w:w="108" w:type="dxa"/>
            <w:bottom w:w="0" w:type="dxa"/>
            <w:right w:w="108" w:type="dxa"/>
          </w:tblCellMar>
        </w:tblPrEx>
        <w:trPr>
          <w:trHeight w:val="309" w:hRule="atLeast"/>
        </w:trPr>
        <w:tc>
          <w:tcPr>
            <w:tcW w:w="507"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9</w:t>
            </w:r>
          </w:p>
        </w:tc>
        <w:tc>
          <w:tcPr>
            <w:tcW w:w="703" w:type="dxa"/>
            <w:vMerge w:val="restart"/>
            <w:tcBorders>
              <w:top w:val="single" w:color="000000" w:sz="4" w:space="0"/>
              <w:left w:val="nil"/>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制剂制造岗位综合实训</w:t>
            </w:r>
          </w:p>
        </w:tc>
        <w:tc>
          <w:tcPr>
            <w:tcW w:w="1455" w:type="dxa"/>
            <w:vMerge w:val="restart"/>
            <w:tcBorders>
              <w:top w:val="single" w:color="000000" w:sz="4" w:space="0"/>
              <w:left w:val="nil"/>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药物制剂实训基地</w:t>
            </w:r>
          </w:p>
        </w:tc>
        <w:tc>
          <w:tcPr>
            <w:tcW w:w="1800" w:type="dxa"/>
            <w:vMerge w:val="restart"/>
            <w:tcBorders>
              <w:top w:val="single" w:color="000000" w:sz="4" w:space="0"/>
              <w:left w:val="nil"/>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片剂的制备</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实训前的准备</w:t>
            </w:r>
          </w:p>
        </w:tc>
        <w:tc>
          <w:tcPr>
            <w:tcW w:w="1817" w:type="dxa"/>
            <w:vMerge w:val="restart"/>
            <w:tcBorders>
              <w:top w:val="single" w:color="000000" w:sz="4" w:space="0"/>
              <w:left w:val="single" w:color="auto"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压片机、摇摆式制粒机、槽型混合机、分析天平、台式天平、烘箱、药筛（60目）、尼龙筛（20目）、搪瓷盘、乳钵</w:t>
            </w:r>
          </w:p>
        </w:tc>
      </w:tr>
      <w:tr>
        <w:tblPrEx>
          <w:tblCellMar>
            <w:top w:w="0" w:type="dxa"/>
            <w:left w:w="108" w:type="dxa"/>
            <w:bottom w:w="0" w:type="dxa"/>
            <w:right w:w="108" w:type="dxa"/>
          </w:tblCellMar>
        </w:tblPrEx>
        <w:trPr>
          <w:trHeight w:val="279" w:hRule="atLeast"/>
        </w:trPr>
        <w:tc>
          <w:tcPr>
            <w:tcW w:w="507" w:type="dxa"/>
            <w:vMerge w:val="continue"/>
            <w:tcBorders>
              <w:left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制湿颗粒</w:t>
            </w:r>
          </w:p>
        </w:tc>
        <w:tc>
          <w:tcPr>
            <w:tcW w:w="1817" w:type="dxa"/>
            <w:vMerge w:val="continue"/>
            <w:tcBorders>
              <w:left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r>
      <w:tr>
        <w:tblPrEx>
          <w:tblCellMar>
            <w:top w:w="0" w:type="dxa"/>
            <w:left w:w="108" w:type="dxa"/>
            <w:bottom w:w="0" w:type="dxa"/>
            <w:right w:w="108" w:type="dxa"/>
          </w:tblCellMar>
        </w:tblPrEx>
        <w:trPr>
          <w:trHeight w:val="284" w:hRule="atLeast"/>
        </w:trPr>
        <w:tc>
          <w:tcPr>
            <w:tcW w:w="507" w:type="dxa"/>
            <w:vMerge w:val="continue"/>
            <w:tcBorders>
              <w:left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压片机操作</w:t>
            </w:r>
          </w:p>
        </w:tc>
        <w:tc>
          <w:tcPr>
            <w:tcW w:w="1817" w:type="dxa"/>
            <w:vMerge w:val="continue"/>
            <w:tcBorders>
              <w:left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r>
      <w:tr>
        <w:tblPrEx>
          <w:tblCellMar>
            <w:top w:w="0" w:type="dxa"/>
            <w:left w:w="108" w:type="dxa"/>
            <w:bottom w:w="0" w:type="dxa"/>
            <w:right w:w="108" w:type="dxa"/>
          </w:tblCellMar>
        </w:tblPrEx>
        <w:trPr>
          <w:trHeight w:val="314" w:hRule="atLeast"/>
        </w:trPr>
        <w:tc>
          <w:tcPr>
            <w:tcW w:w="507"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质量中控</w:t>
            </w:r>
          </w:p>
        </w:tc>
        <w:tc>
          <w:tcPr>
            <w:tcW w:w="1817" w:type="dxa"/>
            <w:vMerge w:val="continue"/>
            <w:tcBorders>
              <w:left w:val="single" w:color="auto"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r>
      <w:tr>
        <w:tblPrEx>
          <w:tblCellMar>
            <w:top w:w="0" w:type="dxa"/>
            <w:left w:w="108" w:type="dxa"/>
            <w:bottom w:w="0" w:type="dxa"/>
            <w:right w:w="108" w:type="dxa"/>
          </w:tblCellMar>
        </w:tblPrEx>
        <w:trPr>
          <w:trHeight w:val="295" w:hRule="atLeast"/>
        </w:trPr>
        <w:tc>
          <w:tcPr>
            <w:tcW w:w="507" w:type="dxa"/>
            <w:vMerge w:val="restart"/>
            <w:tcBorders>
              <w:top w:val="single" w:color="auto" w:sz="4" w:space="0"/>
              <w:left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r>
              <w:rPr>
                <w:rFonts w:hint="eastAsia" w:ascii="宋体" w:hAnsi="宋体" w:cs="宋体"/>
              </w:rPr>
              <w:t>10</w:t>
            </w:r>
          </w:p>
        </w:tc>
        <w:tc>
          <w:tcPr>
            <w:tcW w:w="70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生物制药岗位综合实训</w:t>
            </w:r>
          </w:p>
          <w:p>
            <w:pPr>
              <w:ind w:firstLine="482"/>
              <w:rPr>
                <w:rFonts w:ascii="宋体" w:hAnsi="宋体" w:cs="宋体"/>
              </w:rPr>
            </w:pPr>
          </w:p>
          <w:p>
            <w:pPr>
              <w:ind w:firstLine="482"/>
              <w:rPr>
                <w:rFonts w:ascii="宋体" w:hAnsi="宋体" w:cs="宋体"/>
              </w:rPr>
            </w:pPr>
          </w:p>
          <w:p>
            <w:pPr>
              <w:ind w:firstLine="482"/>
              <w:rPr>
                <w:rFonts w:ascii="宋体" w:hAnsi="宋体" w:cs="宋体"/>
              </w:rPr>
            </w:pPr>
          </w:p>
          <w:p>
            <w:pPr>
              <w:ind w:firstLine="482"/>
              <w:rPr>
                <w:rFonts w:ascii="宋体" w:hAnsi="宋体" w:cs="宋体"/>
              </w:rPr>
            </w:pPr>
          </w:p>
        </w:tc>
        <w:tc>
          <w:tcPr>
            <w:tcW w:w="145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计算机模拟实训室</w:t>
            </w:r>
          </w:p>
          <w:p>
            <w:pPr>
              <w:ind w:firstLine="0" w:firstLineChars="0"/>
              <w:rPr>
                <w:rFonts w:ascii="宋体" w:hAnsi="宋体" w:cs="宋体"/>
              </w:rPr>
            </w:pPr>
            <w:r>
              <w:rPr>
                <w:rFonts w:hint="eastAsia" w:ascii="宋体" w:hAnsi="宋体" w:cs="宋体"/>
              </w:rPr>
              <w:t>发酵制药实训室</w:t>
            </w:r>
          </w:p>
        </w:tc>
        <w:tc>
          <w:tcPr>
            <w:tcW w:w="180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青霉素生产工艺</w:t>
            </w:r>
          </w:p>
        </w:tc>
        <w:tc>
          <w:tcPr>
            <w:tcW w:w="2886"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仿真软件的模拟演练</w:t>
            </w:r>
          </w:p>
        </w:tc>
        <w:tc>
          <w:tcPr>
            <w:tcW w:w="18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青霉素发酵及提取仿真软件</w:t>
            </w:r>
          </w:p>
        </w:tc>
      </w:tr>
      <w:tr>
        <w:tblPrEx>
          <w:tblCellMar>
            <w:top w:w="0" w:type="dxa"/>
            <w:left w:w="108" w:type="dxa"/>
            <w:bottom w:w="0" w:type="dxa"/>
            <w:right w:w="108" w:type="dxa"/>
          </w:tblCellMar>
        </w:tblPrEx>
        <w:trPr>
          <w:trHeight w:val="187" w:hRule="atLeast"/>
        </w:trPr>
        <w:tc>
          <w:tcPr>
            <w:tcW w:w="507" w:type="dxa"/>
            <w:vMerge w:val="continue"/>
            <w:tcBorders>
              <w:left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restart"/>
            <w:tcBorders>
              <w:top w:val="single" w:color="000000" w:sz="4" w:space="0"/>
              <w:left w:val="nil"/>
              <w:right w:val="single" w:color="auto"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生物反应器操作技术（小组教学+学生演示）</w:t>
            </w: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发酵罐源头设备的使用与维护</w:t>
            </w:r>
          </w:p>
        </w:tc>
        <w:tc>
          <w:tcPr>
            <w:tcW w:w="1817" w:type="dxa"/>
            <w:vMerge w:val="restart"/>
            <w:tcBorders>
              <w:top w:val="single" w:color="000000" w:sz="4" w:space="0"/>
              <w:left w:val="nil"/>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发酵罐、空气压缩机、储气罐、蒸汽发生器。</w:t>
            </w:r>
          </w:p>
        </w:tc>
      </w:tr>
      <w:tr>
        <w:tblPrEx>
          <w:tblCellMar>
            <w:top w:w="0" w:type="dxa"/>
            <w:left w:w="108" w:type="dxa"/>
            <w:bottom w:w="0" w:type="dxa"/>
            <w:right w:w="108" w:type="dxa"/>
          </w:tblCellMar>
        </w:tblPrEx>
        <w:trPr>
          <w:trHeight w:val="332" w:hRule="atLeast"/>
        </w:trPr>
        <w:tc>
          <w:tcPr>
            <w:tcW w:w="507" w:type="dxa"/>
            <w:vMerge w:val="continue"/>
            <w:tcBorders>
              <w:left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left w:val="nil"/>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发酵罐的结构</w:t>
            </w:r>
          </w:p>
        </w:tc>
        <w:tc>
          <w:tcPr>
            <w:tcW w:w="1817"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r>
      <w:tr>
        <w:tblPrEx>
          <w:tblCellMar>
            <w:top w:w="0" w:type="dxa"/>
            <w:left w:w="108" w:type="dxa"/>
            <w:bottom w:w="0" w:type="dxa"/>
            <w:right w:w="108" w:type="dxa"/>
          </w:tblCellMar>
        </w:tblPrEx>
        <w:trPr>
          <w:trHeight w:val="187" w:hRule="atLeast"/>
        </w:trPr>
        <w:tc>
          <w:tcPr>
            <w:tcW w:w="507" w:type="dxa"/>
            <w:vMerge w:val="continue"/>
            <w:tcBorders>
              <w:left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left w:val="nil"/>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开机、电极与泵的标定、实消</w:t>
            </w:r>
          </w:p>
        </w:tc>
        <w:tc>
          <w:tcPr>
            <w:tcW w:w="1817"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r>
      <w:tr>
        <w:tblPrEx>
          <w:tblCellMar>
            <w:top w:w="0" w:type="dxa"/>
            <w:left w:w="108" w:type="dxa"/>
            <w:bottom w:w="0" w:type="dxa"/>
            <w:right w:w="108" w:type="dxa"/>
          </w:tblCellMar>
        </w:tblPrEx>
        <w:trPr>
          <w:trHeight w:val="187" w:hRule="atLeast"/>
        </w:trPr>
        <w:tc>
          <w:tcPr>
            <w:tcW w:w="507" w:type="dxa"/>
            <w:vMerge w:val="continue"/>
            <w:tcBorders>
              <w:left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left w:val="nil"/>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实消后的操作、火圈接种法</w:t>
            </w:r>
          </w:p>
        </w:tc>
        <w:tc>
          <w:tcPr>
            <w:tcW w:w="1817" w:type="dxa"/>
            <w:vMerge w:val="continue"/>
            <w:tcBorders>
              <w:left w:val="nil"/>
              <w:right w:val="single" w:color="000000" w:sz="4" w:space="0"/>
            </w:tcBorders>
            <w:tcMar>
              <w:top w:w="0" w:type="dxa"/>
              <w:left w:w="108" w:type="dxa"/>
              <w:bottom w:w="0" w:type="dxa"/>
              <w:right w:w="108" w:type="dxa"/>
            </w:tcMar>
            <w:vAlign w:val="center"/>
          </w:tcPr>
          <w:p>
            <w:pPr>
              <w:ind w:firstLine="482"/>
              <w:rPr>
                <w:rFonts w:ascii="宋体" w:hAnsi="宋体" w:cs="宋体"/>
              </w:rPr>
            </w:pPr>
          </w:p>
        </w:tc>
      </w:tr>
      <w:tr>
        <w:tblPrEx>
          <w:tblCellMar>
            <w:top w:w="0" w:type="dxa"/>
            <w:left w:w="108" w:type="dxa"/>
            <w:bottom w:w="0" w:type="dxa"/>
            <w:right w:w="108" w:type="dxa"/>
          </w:tblCellMar>
        </w:tblPrEx>
        <w:trPr>
          <w:trHeight w:val="187" w:hRule="atLeast"/>
        </w:trPr>
        <w:tc>
          <w:tcPr>
            <w:tcW w:w="507" w:type="dxa"/>
            <w:vMerge w:val="continue"/>
            <w:tcBorders>
              <w:left w:val="single" w:color="000000"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70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45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1800" w:type="dxa"/>
            <w:vMerge w:val="continue"/>
            <w:tcBorders>
              <w:left w:val="nil"/>
              <w:bottom w:val="single" w:color="000000" w:sz="4" w:space="0"/>
              <w:right w:val="single" w:color="auto" w:sz="4" w:space="0"/>
            </w:tcBorders>
            <w:tcMar>
              <w:top w:w="0" w:type="dxa"/>
              <w:left w:w="108" w:type="dxa"/>
              <w:bottom w:w="0" w:type="dxa"/>
              <w:right w:w="108" w:type="dxa"/>
            </w:tcMar>
            <w:vAlign w:val="center"/>
          </w:tcPr>
          <w:p>
            <w:pPr>
              <w:ind w:firstLine="482"/>
              <w:rPr>
                <w:rFonts w:ascii="宋体" w:hAnsi="宋体" w:cs="宋体"/>
              </w:rPr>
            </w:pPr>
          </w:p>
        </w:tc>
        <w:tc>
          <w:tcPr>
            <w:tcW w:w="288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hAnsi="宋体" w:cs="宋体"/>
              </w:rPr>
            </w:pPr>
            <w:r>
              <w:rPr>
                <w:rFonts w:hint="eastAsia" w:ascii="宋体" w:hAnsi="宋体" w:cs="宋体"/>
              </w:rPr>
              <w:t>自动补料器的安装、取样放料，清场</w:t>
            </w:r>
          </w:p>
        </w:tc>
        <w:tc>
          <w:tcPr>
            <w:tcW w:w="1817"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ind w:firstLine="482"/>
              <w:rPr>
                <w:rFonts w:ascii="宋体" w:hAnsi="宋体" w:cs="宋体"/>
              </w:rPr>
            </w:pPr>
          </w:p>
        </w:tc>
      </w:tr>
    </w:tbl>
    <w:p>
      <w:pPr>
        <w:ind w:firstLine="482"/>
      </w:pPr>
      <w:bookmarkStart w:id="91" w:name="_Toc76494830"/>
      <w:bookmarkStart w:id="92" w:name="_Toc433837645"/>
      <w:bookmarkStart w:id="93" w:name="_Toc90889472"/>
      <w:bookmarkStart w:id="94" w:name="_Toc90896284"/>
      <w:r>
        <w:rPr>
          <w:rFonts w:hint="eastAsia"/>
        </w:rPr>
        <w:t>2.校外实训基地</w:t>
      </w:r>
      <w:bookmarkEnd w:id="91"/>
      <w:bookmarkEnd w:id="92"/>
      <w:bookmarkEnd w:id="93"/>
      <w:bookmarkEnd w:id="94"/>
    </w:p>
    <w:p>
      <w:pPr>
        <w:ind w:firstLine="482"/>
      </w:pPr>
      <w:r>
        <w:rPr>
          <w:rFonts w:hint="eastAsia"/>
        </w:rPr>
        <w:t>以专业认识和扩大学生知识面的认识实习基地，应是能够反映目前生物制药技术应用的较高水平的大型知名企业，2家左右即可；以接受学生半年及以上顶岗实习的生产型实训基地，应能够为学生提供实际工作岗位并配备专门的校外实训指导兼职教师。由于需要提供实际岗位，每个企业同时容纳的学生数有限，因此企业数量宜多。这种顶岗实习，需要根据培养目标要求和实践教学内容与企业共同制定实习计划和教学大纲，按进程精心编排教学设计并组织、管理教学过程，以达到预期目标。</w:t>
      </w:r>
    </w:p>
    <w:p>
      <w:pPr>
        <w:ind w:firstLine="482"/>
      </w:pPr>
      <w:r>
        <w:rPr>
          <w:rFonts w:hint="eastAsia"/>
        </w:rPr>
        <w:t>目前与我院签有协议并可供我院生物制药专业实训的校外基地有：xxxx（中国）制药有限公司、天津xx生物医药有限公司、天津xxx基因生物技术有限公司、天津xx生物技术有限公司。通过对生物制药实践操作能力的培养，全面提高学生的职业能力。能够满足本专业学生到上述实训基地进行跟班实训、工学交替、顶岗实习，并不定期的组织学生到各企业进行参观、开展现场教学的需要。</w:t>
      </w:r>
      <w:bookmarkStart w:id="95" w:name="_Toc463877993"/>
      <w:bookmarkStart w:id="96" w:name="_Toc463739510"/>
      <w:bookmarkStart w:id="97" w:name="_Toc464029758"/>
      <w:bookmarkStart w:id="98" w:name="_Toc463766551"/>
      <w:bookmarkStart w:id="99" w:name="_Toc463872754"/>
      <w:bookmarkStart w:id="100" w:name="_Toc463872103"/>
    </w:p>
    <w:p>
      <w:pPr>
        <w:ind w:firstLine="0" w:firstLineChars="0"/>
        <w:jc w:val="center"/>
      </w:pPr>
      <w:r>
        <w:rPr>
          <w:rFonts w:hint="eastAsia"/>
        </w:rPr>
        <w:t>表</w:t>
      </w:r>
      <w:r>
        <w:t xml:space="preserve">5 </w:t>
      </w:r>
      <w:r>
        <w:rPr>
          <w:rFonts w:hint="eastAsia"/>
        </w:rPr>
        <w:t>校外实训基地一览表</w:t>
      </w:r>
      <w:bookmarkEnd w:id="95"/>
      <w:bookmarkEnd w:id="96"/>
      <w:bookmarkEnd w:id="97"/>
      <w:bookmarkEnd w:id="98"/>
      <w:bookmarkEnd w:id="99"/>
      <w:bookmarkEnd w:id="100"/>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825"/>
        <w:gridCol w:w="3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659" w:type="dxa"/>
            <w:vAlign w:val="center"/>
          </w:tcPr>
          <w:p>
            <w:pPr>
              <w:pStyle w:val="175"/>
              <w:framePr w:wrap="around"/>
            </w:pPr>
            <w:r>
              <w:rPr>
                <w:rFonts w:hint="eastAsia"/>
              </w:rPr>
              <w:t>序号</w:t>
            </w:r>
          </w:p>
        </w:tc>
        <w:tc>
          <w:tcPr>
            <w:tcW w:w="3825" w:type="dxa"/>
            <w:vAlign w:val="center"/>
          </w:tcPr>
          <w:p>
            <w:pPr>
              <w:pStyle w:val="175"/>
              <w:framePr w:wrap="around"/>
            </w:pPr>
            <w:r>
              <w:rPr>
                <w:rFonts w:hint="eastAsia"/>
              </w:rPr>
              <w:t>所在企业单位</w:t>
            </w:r>
          </w:p>
        </w:tc>
        <w:tc>
          <w:tcPr>
            <w:tcW w:w="3914" w:type="dxa"/>
            <w:vAlign w:val="center"/>
          </w:tcPr>
          <w:p>
            <w:pPr>
              <w:pStyle w:val="175"/>
              <w:framePr w:wrap="around"/>
            </w:pPr>
            <w:r>
              <w:rPr>
                <w:rFonts w:hint="eastAsia"/>
              </w:rPr>
              <w:t>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9" w:type="dxa"/>
            <w:vAlign w:val="center"/>
          </w:tcPr>
          <w:p>
            <w:pPr>
              <w:pStyle w:val="175"/>
              <w:framePr w:wrap="around"/>
            </w:pPr>
            <w:r>
              <w:rPr>
                <w:rFonts w:hint="eastAsia"/>
              </w:rPr>
              <w:t>1</w:t>
            </w:r>
          </w:p>
        </w:tc>
        <w:tc>
          <w:tcPr>
            <w:tcW w:w="3825" w:type="dxa"/>
            <w:vAlign w:val="center"/>
          </w:tcPr>
          <w:p>
            <w:pPr>
              <w:pStyle w:val="175"/>
              <w:framePr w:wrap="around"/>
            </w:pPr>
            <w:r>
              <w:rPr>
                <w:rFonts w:hint="eastAsia"/>
              </w:rPr>
              <w:t>xxxx有限公司</w:t>
            </w:r>
          </w:p>
        </w:tc>
        <w:tc>
          <w:tcPr>
            <w:tcW w:w="3914" w:type="dxa"/>
            <w:vAlign w:val="center"/>
          </w:tcPr>
          <w:p>
            <w:pPr>
              <w:pStyle w:val="175"/>
              <w:framePr w:wrap="around"/>
            </w:pPr>
            <w:r>
              <w:t>北京市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9" w:type="dxa"/>
            <w:vAlign w:val="center"/>
          </w:tcPr>
          <w:p>
            <w:pPr>
              <w:pStyle w:val="175"/>
              <w:framePr w:wrap="around"/>
            </w:pPr>
            <w:r>
              <w:rPr>
                <w:rFonts w:hint="eastAsia"/>
              </w:rPr>
              <w:t>2</w:t>
            </w:r>
          </w:p>
        </w:tc>
        <w:tc>
          <w:tcPr>
            <w:tcW w:w="3825" w:type="dxa"/>
            <w:vAlign w:val="center"/>
          </w:tcPr>
          <w:p>
            <w:pPr>
              <w:pStyle w:val="175"/>
              <w:framePr w:wrap="around"/>
            </w:pPr>
            <w:r>
              <w:rPr>
                <w:rFonts w:hint="eastAsia"/>
              </w:rPr>
              <w:t>xx</w:t>
            </w:r>
            <w:r>
              <w:rPr>
                <w:rFonts w:hint="eastAsia" w:ascii="Damascus" w:hAnsi="Damascus" w:cs="Damascus"/>
              </w:rPr>
              <w:t>生物</w:t>
            </w:r>
            <w:r>
              <w:rPr>
                <w:rFonts w:hint="eastAsia"/>
              </w:rPr>
              <w:t>医药有限公司</w:t>
            </w:r>
          </w:p>
        </w:tc>
        <w:tc>
          <w:tcPr>
            <w:tcW w:w="3914" w:type="dxa"/>
            <w:vAlign w:val="center"/>
          </w:tcPr>
          <w:p>
            <w:pPr>
              <w:pStyle w:val="175"/>
              <w:framePr w:wrap="around"/>
            </w:pPr>
            <w:r>
              <w:t>天津经济技术开发区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9" w:type="dxa"/>
            <w:vAlign w:val="center"/>
          </w:tcPr>
          <w:p>
            <w:pPr>
              <w:pStyle w:val="175"/>
              <w:framePr w:wrap="around"/>
            </w:pPr>
            <w:r>
              <w:rPr>
                <w:rFonts w:hint="eastAsia"/>
              </w:rPr>
              <w:t>3</w:t>
            </w:r>
          </w:p>
        </w:tc>
        <w:tc>
          <w:tcPr>
            <w:tcW w:w="3825" w:type="dxa"/>
            <w:vAlign w:val="center"/>
          </w:tcPr>
          <w:p>
            <w:pPr>
              <w:pStyle w:val="175"/>
              <w:framePr w:wrap="around"/>
            </w:pPr>
            <w:r>
              <w:rPr>
                <w:rFonts w:hint="eastAsia"/>
              </w:rPr>
              <w:t>天津xx生物技术有限公司</w:t>
            </w:r>
          </w:p>
        </w:tc>
        <w:tc>
          <w:tcPr>
            <w:tcW w:w="3914" w:type="dxa"/>
            <w:vAlign w:val="center"/>
          </w:tcPr>
          <w:p>
            <w:pPr>
              <w:pStyle w:val="175"/>
              <w:framePr w:wrap="around"/>
            </w:pPr>
            <w:r>
              <w:t>天津市南开区</w:t>
            </w:r>
          </w:p>
        </w:tc>
      </w:tr>
    </w:tbl>
    <w:p>
      <w:pPr>
        <w:pStyle w:val="3"/>
        <w:ind w:firstLine="564"/>
      </w:pPr>
      <w:bookmarkStart w:id="101" w:name="_Toc360873456"/>
      <w:bookmarkStart w:id="102" w:name="_Toc76494831"/>
      <w:bookmarkStart w:id="103" w:name="_Toc90896285"/>
      <w:bookmarkStart w:id="104" w:name="_Toc90889473"/>
      <w:r>
        <w:rPr>
          <w:rFonts w:hint="eastAsia"/>
        </w:rPr>
        <w:t>（三）教学资源</w:t>
      </w:r>
      <w:bookmarkEnd w:id="101"/>
      <w:bookmarkEnd w:id="102"/>
      <w:bookmarkEnd w:id="103"/>
      <w:bookmarkEnd w:id="104"/>
    </w:p>
    <w:p>
      <w:pPr>
        <w:ind w:firstLine="482"/>
      </w:pPr>
      <w:r>
        <w:rPr>
          <w:rFonts w:hint="eastAsia"/>
        </w:rPr>
        <w:t>先进生物制药技术的网络化、数字化发展迅速，应从各种媒体保持信息畅通，并通过专业建设委员会中来自行业企业的专家以及企业兼职教师带来的新技术、新工艺及时更新教学内容，充分利用丰富的网络专业教学资源，或根据学校行业特点建设教学资源，体现专业特色，不断丰富学生的学习资源，满足个体化学习需求。</w:t>
      </w:r>
    </w:p>
    <w:p>
      <w:pPr>
        <w:ind w:firstLine="0" w:firstLineChars="0"/>
        <w:jc w:val="center"/>
      </w:pPr>
      <w:r>
        <w:rPr>
          <w:rFonts w:hint="eastAsia"/>
        </w:rPr>
        <w:t>表</w:t>
      </w:r>
      <w:r>
        <w:t>6</w:t>
      </w:r>
      <w:r>
        <w:rPr>
          <w:rFonts w:hint="eastAsia"/>
        </w:rPr>
        <w:t xml:space="preserve"> 生物制药技术三二分段专业教材一览表</w:t>
      </w:r>
    </w:p>
    <w:tbl>
      <w:tblPr>
        <w:tblStyle w:val="37"/>
        <w:tblW w:w="85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192"/>
        <w:gridCol w:w="1275"/>
        <w:gridCol w:w="1655"/>
        <w:gridCol w:w="1029"/>
        <w:gridCol w:w="1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blHeader/>
        </w:trPr>
        <w:tc>
          <w:tcPr>
            <w:tcW w:w="610" w:type="dxa"/>
            <w:vAlign w:val="center"/>
          </w:tcPr>
          <w:p>
            <w:pPr>
              <w:pStyle w:val="35"/>
              <w:jc w:val="center"/>
            </w:pPr>
            <w:r>
              <w:rPr>
                <w:rFonts w:hint="eastAsia"/>
              </w:rPr>
              <w:t>序号</w:t>
            </w:r>
          </w:p>
        </w:tc>
        <w:tc>
          <w:tcPr>
            <w:tcW w:w="2192" w:type="dxa"/>
            <w:vAlign w:val="center"/>
          </w:tcPr>
          <w:p>
            <w:pPr>
              <w:pStyle w:val="35"/>
              <w:jc w:val="center"/>
            </w:pPr>
            <w:r>
              <w:rPr>
                <w:rFonts w:hint="eastAsia"/>
              </w:rPr>
              <w:t>教材名称</w:t>
            </w:r>
          </w:p>
        </w:tc>
        <w:tc>
          <w:tcPr>
            <w:tcW w:w="1275" w:type="dxa"/>
            <w:vAlign w:val="center"/>
          </w:tcPr>
          <w:p>
            <w:pPr>
              <w:pStyle w:val="35"/>
              <w:jc w:val="center"/>
            </w:pPr>
            <w:r>
              <w:rPr>
                <w:rFonts w:hint="eastAsia"/>
              </w:rPr>
              <w:t>版本时间（年）</w:t>
            </w:r>
          </w:p>
        </w:tc>
        <w:tc>
          <w:tcPr>
            <w:tcW w:w="1655" w:type="dxa"/>
            <w:vAlign w:val="center"/>
          </w:tcPr>
          <w:p>
            <w:pPr>
              <w:pStyle w:val="35"/>
              <w:jc w:val="center"/>
            </w:pPr>
            <w:r>
              <w:rPr>
                <w:rFonts w:hint="eastAsia"/>
              </w:rPr>
              <w:t>出版社</w:t>
            </w:r>
          </w:p>
        </w:tc>
        <w:tc>
          <w:tcPr>
            <w:tcW w:w="1029" w:type="dxa"/>
            <w:vAlign w:val="center"/>
          </w:tcPr>
          <w:p>
            <w:pPr>
              <w:pStyle w:val="35"/>
              <w:jc w:val="center"/>
            </w:pPr>
            <w:r>
              <w:rPr>
                <w:rFonts w:hint="eastAsia"/>
              </w:rPr>
              <w:t>第一作者</w:t>
            </w:r>
          </w:p>
        </w:tc>
        <w:tc>
          <w:tcPr>
            <w:tcW w:w="1769" w:type="dxa"/>
            <w:vAlign w:val="center"/>
          </w:tcPr>
          <w:p>
            <w:pPr>
              <w:pStyle w:val="35"/>
              <w:jc w:val="center"/>
            </w:pPr>
            <w:r>
              <w:rPr>
                <w:rFonts w:hint="eastAsia"/>
              </w:rPr>
              <w:t>教材类型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10" w:type="dxa"/>
            <w:vAlign w:val="center"/>
          </w:tcPr>
          <w:p>
            <w:pPr>
              <w:pStyle w:val="35"/>
              <w:jc w:val="center"/>
              <w:rPr>
                <w:color w:val="000000"/>
              </w:rPr>
            </w:pPr>
            <w:r>
              <w:rPr>
                <w:rFonts w:hint="eastAsia"/>
                <w:color w:val="000000"/>
              </w:rPr>
              <w:t>1</w:t>
            </w:r>
          </w:p>
        </w:tc>
        <w:tc>
          <w:tcPr>
            <w:tcW w:w="2192" w:type="dxa"/>
            <w:vAlign w:val="center"/>
          </w:tcPr>
          <w:p>
            <w:pPr>
              <w:pStyle w:val="35"/>
              <w:jc w:val="center"/>
            </w:pPr>
            <w:r>
              <w:rPr>
                <w:rFonts w:hint="eastAsia"/>
              </w:rPr>
              <w:t>德育-1</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开明出版社</w:t>
            </w:r>
          </w:p>
        </w:tc>
        <w:tc>
          <w:tcPr>
            <w:tcW w:w="1029" w:type="dxa"/>
            <w:vAlign w:val="center"/>
          </w:tcPr>
          <w:p>
            <w:pPr>
              <w:pStyle w:val="35"/>
              <w:jc w:val="center"/>
            </w:pPr>
            <w:r>
              <w:rPr>
                <w:rFonts w:hint="eastAsia"/>
              </w:rPr>
              <w:t>《中国特色社会主义》编写组</w:t>
            </w:r>
          </w:p>
        </w:tc>
        <w:tc>
          <w:tcPr>
            <w:tcW w:w="1769" w:type="dxa"/>
            <w:vAlign w:val="center"/>
          </w:tcPr>
          <w:p>
            <w:pPr>
              <w:pStyle w:val="35"/>
              <w:jc w:val="center"/>
            </w:pPr>
            <w:r>
              <w:rPr>
                <w:rFonts w:hint="eastAsia"/>
              </w:rPr>
              <w:t>中等职业学校思想政治课教材配套教学用书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10" w:type="dxa"/>
            <w:vAlign w:val="center"/>
          </w:tcPr>
          <w:p>
            <w:pPr>
              <w:pStyle w:val="35"/>
              <w:jc w:val="center"/>
              <w:rPr>
                <w:color w:val="000000"/>
              </w:rPr>
            </w:pPr>
            <w:r>
              <w:rPr>
                <w:rFonts w:hint="eastAsia"/>
                <w:color w:val="000000"/>
              </w:rPr>
              <w:t>2</w:t>
            </w:r>
          </w:p>
        </w:tc>
        <w:tc>
          <w:tcPr>
            <w:tcW w:w="2192" w:type="dxa"/>
            <w:vAlign w:val="center"/>
          </w:tcPr>
          <w:p>
            <w:pPr>
              <w:pStyle w:val="35"/>
              <w:jc w:val="center"/>
            </w:pPr>
            <w:r>
              <w:rPr>
                <w:rFonts w:hint="eastAsia"/>
              </w:rPr>
              <w:t>中国特色社会主义学习辅导与自测</w:t>
            </w:r>
          </w:p>
        </w:tc>
        <w:tc>
          <w:tcPr>
            <w:tcW w:w="1275" w:type="dxa"/>
            <w:vAlign w:val="center"/>
          </w:tcPr>
          <w:p>
            <w:pPr>
              <w:pStyle w:val="35"/>
              <w:jc w:val="center"/>
            </w:pPr>
            <w:r>
              <w:rPr>
                <w:rFonts w:hint="eastAsia"/>
              </w:rPr>
              <w:t>2021</w:t>
            </w:r>
          </w:p>
        </w:tc>
        <w:tc>
          <w:tcPr>
            <w:tcW w:w="1655" w:type="dxa"/>
            <w:vAlign w:val="center"/>
          </w:tcPr>
          <w:p>
            <w:pPr>
              <w:pStyle w:val="35"/>
              <w:jc w:val="center"/>
            </w:pPr>
            <w:r>
              <w:rPr>
                <w:rFonts w:hint="eastAsia"/>
              </w:rPr>
              <w:t>电子科技大学出版社</w:t>
            </w:r>
          </w:p>
        </w:tc>
        <w:tc>
          <w:tcPr>
            <w:tcW w:w="1029" w:type="dxa"/>
            <w:vAlign w:val="center"/>
          </w:tcPr>
          <w:p>
            <w:pPr>
              <w:pStyle w:val="35"/>
              <w:jc w:val="center"/>
            </w:pPr>
            <w:r>
              <w:rPr>
                <w:rFonts w:hint="eastAsia"/>
              </w:rPr>
              <w:t>吴艳霞</w:t>
            </w:r>
          </w:p>
        </w:tc>
        <w:tc>
          <w:tcPr>
            <w:tcW w:w="1769" w:type="dxa"/>
            <w:vAlign w:val="center"/>
          </w:tcPr>
          <w:p>
            <w:pPr>
              <w:pStyle w:val="35"/>
              <w:jc w:val="center"/>
            </w:pPr>
            <w:r>
              <w:rPr>
                <w:rFonts w:hint="eastAsia"/>
              </w:rPr>
              <w:t>创新型素质教育精品教材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10" w:type="dxa"/>
            <w:vAlign w:val="center"/>
          </w:tcPr>
          <w:p>
            <w:pPr>
              <w:pStyle w:val="35"/>
              <w:jc w:val="center"/>
              <w:rPr>
                <w:color w:val="000000"/>
              </w:rPr>
            </w:pPr>
            <w:r>
              <w:rPr>
                <w:color w:val="000000"/>
              </w:rPr>
              <w:t>3</w:t>
            </w:r>
          </w:p>
        </w:tc>
        <w:tc>
          <w:tcPr>
            <w:tcW w:w="2192" w:type="dxa"/>
            <w:vAlign w:val="center"/>
          </w:tcPr>
          <w:p>
            <w:pPr>
              <w:pStyle w:val="35"/>
              <w:jc w:val="center"/>
            </w:pPr>
            <w:r>
              <w:rPr>
                <w:rFonts w:hint="eastAsia"/>
              </w:rPr>
              <w:t>德育-1</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开明出版社</w:t>
            </w:r>
          </w:p>
        </w:tc>
        <w:tc>
          <w:tcPr>
            <w:tcW w:w="1029" w:type="dxa"/>
            <w:vAlign w:val="center"/>
          </w:tcPr>
          <w:p>
            <w:pPr>
              <w:pStyle w:val="35"/>
              <w:jc w:val="center"/>
            </w:pPr>
            <w:r>
              <w:rPr>
                <w:rFonts w:hint="eastAsia"/>
              </w:rPr>
              <w:t>《中国特色社会主义》编写组</w:t>
            </w:r>
          </w:p>
        </w:tc>
        <w:tc>
          <w:tcPr>
            <w:tcW w:w="1769" w:type="dxa"/>
            <w:vAlign w:val="center"/>
          </w:tcPr>
          <w:p>
            <w:pPr>
              <w:pStyle w:val="35"/>
              <w:jc w:val="center"/>
            </w:pPr>
            <w:r>
              <w:rPr>
                <w:rFonts w:hint="eastAsia"/>
              </w:rPr>
              <w:t>中等职业学校思想政治课教材配套教学用书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10" w:type="dxa"/>
            <w:vAlign w:val="center"/>
          </w:tcPr>
          <w:p>
            <w:pPr>
              <w:pStyle w:val="35"/>
              <w:jc w:val="center"/>
              <w:rPr>
                <w:color w:val="000000"/>
              </w:rPr>
            </w:pPr>
            <w:r>
              <w:rPr>
                <w:rFonts w:hint="eastAsia"/>
                <w:color w:val="000000"/>
              </w:rPr>
              <w:t>4</w:t>
            </w:r>
          </w:p>
        </w:tc>
        <w:tc>
          <w:tcPr>
            <w:tcW w:w="2192" w:type="dxa"/>
            <w:vAlign w:val="center"/>
          </w:tcPr>
          <w:p>
            <w:pPr>
              <w:pStyle w:val="35"/>
              <w:jc w:val="center"/>
            </w:pPr>
            <w:r>
              <w:rPr>
                <w:rFonts w:hint="eastAsia"/>
              </w:rPr>
              <w:t>中国特色社会主义</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编写组</w:t>
            </w:r>
          </w:p>
        </w:tc>
        <w:tc>
          <w:tcPr>
            <w:tcW w:w="1769" w:type="dxa"/>
            <w:vAlign w:val="center"/>
          </w:tcPr>
          <w:p>
            <w:pPr>
              <w:pStyle w:val="35"/>
              <w:jc w:val="center"/>
            </w:pPr>
            <w:r>
              <w:rPr>
                <w:rFonts w:hint="eastAsia"/>
              </w:rPr>
              <w:t>思想政治课教材配套教学用书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10" w:type="dxa"/>
            <w:vAlign w:val="center"/>
          </w:tcPr>
          <w:p>
            <w:pPr>
              <w:pStyle w:val="35"/>
              <w:jc w:val="center"/>
              <w:rPr>
                <w:color w:val="000000"/>
              </w:rPr>
            </w:pPr>
            <w:r>
              <w:rPr>
                <w:color w:val="000000"/>
              </w:rPr>
              <w:t>5</w:t>
            </w:r>
          </w:p>
        </w:tc>
        <w:tc>
          <w:tcPr>
            <w:tcW w:w="2192" w:type="dxa"/>
            <w:vAlign w:val="center"/>
          </w:tcPr>
          <w:p>
            <w:pPr>
              <w:pStyle w:val="35"/>
              <w:jc w:val="center"/>
            </w:pPr>
            <w:r>
              <w:rPr>
                <w:rFonts w:hint="eastAsia"/>
              </w:rPr>
              <w:t>德育-3</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王霁</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10" w:type="dxa"/>
            <w:vAlign w:val="center"/>
          </w:tcPr>
          <w:p>
            <w:pPr>
              <w:pStyle w:val="35"/>
              <w:jc w:val="center"/>
              <w:rPr>
                <w:color w:val="000000"/>
              </w:rPr>
            </w:pPr>
            <w:r>
              <w:rPr>
                <w:rFonts w:hint="eastAsia"/>
                <w:color w:val="000000"/>
              </w:rPr>
              <w:t>6</w:t>
            </w:r>
          </w:p>
        </w:tc>
        <w:tc>
          <w:tcPr>
            <w:tcW w:w="2192" w:type="dxa"/>
            <w:vAlign w:val="center"/>
          </w:tcPr>
          <w:p>
            <w:pPr>
              <w:pStyle w:val="35"/>
              <w:jc w:val="center"/>
            </w:pPr>
            <w:r>
              <w:rPr>
                <w:rFonts w:hint="eastAsia"/>
              </w:rPr>
              <w:t>哲学与人生（第五版）</w:t>
            </w:r>
          </w:p>
        </w:tc>
        <w:tc>
          <w:tcPr>
            <w:tcW w:w="1275" w:type="dxa"/>
            <w:vAlign w:val="center"/>
          </w:tcPr>
          <w:p>
            <w:pPr>
              <w:pStyle w:val="35"/>
              <w:jc w:val="center"/>
            </w:pPr>
          </w:p>
        </w:tc>
        <w:tc>
          <w:tcPr>
            <w:tcW w:w="1655" w:type="dxa"/>
            <w:vAlign w:val="center"/>
          </w:tcPr>
          <w:p>
            <w:pPr>
              <w:pStyle w:val="35"/>
              <w:jc w:val="center"/>
            </w:pPr>
            <w:r>
              <w:rPr>
                <w:rFonts w:hint="eastAsia"/>
              </w:rPr>
              <w:t>中共中央党校出版社</w:t>
            </w:r>
          </w:p>
        </w:tc>
        <w:tc>
          <w:tcPr>
            <w:tcW w:w="1029" w:type="dxa"/>
            <w:vAlign w:val="center"/>
          </w:tcPr>
          <w:p>
            <w:pPr>
              <w:pStyle w:val="35"/>
              <w:jc w:val="center"/>
            </w:pPr>
            <w:r>
              <w:rPr>
                <w:rFonts w:hint="eastAsia"/>
              </w:rPr>
              <w:t>荀海鹏</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10" w:type="dxa"/>
            <w:vAlign w:val="center"/>
          </w:tcPr>
          <w:p>
            <w:pPr>
              <w:pStyle w:val="35"/>
              <w:jc w:val="center"/>
              <w:rPr>
                <w:color w:val="000000"/>
              </w:rPr>
            </w:pPr>
            <w:r>
              <w:rPr>
                <w:color w:val="000000"/>
              </w:rPr>
              <w:t>7</w:t>
            </w:r>
          </w:p>
        </w:tc>
        <w:tc>
          <w:tcPr>
            <w:tcW w:w="2192" w:type="dxa"/>
            <w:vAlign w:val="center"/>
          </w:tcPr>
          <w:p>
            <w:pPr>
              <w:pStyle w:val="35"/>
              <w:jc w:val="center"/>
            </w:pPr>
            <w:r>
              <w:rPr>
                <w:rFonts w:hint="eastAsia"/>
              </w:rPr>
              <w:t>德育-3</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张伟</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10" w:type="dxa"/>
            <w:vAlign w:val="center"/>
          </w:tcPr>
          <w:p>
            <w:pPr>
              <w:pStyle w:val="35"/>
              <w:jc w:val="center"/>
              <w:rPr>
                <w:color w:val="000000"/>
              </w:rPr>
            </w:pPr>
            <w:r>
              <w:rPr>
                <w:rFonts w:hint="eastAsia"/>
                <w:color w:val="000000"/>
              </w:rPr>
              <w:t>8</w:t>
            </w:r>
          </w:p>
        </w:tc>
        <w:tc>
          <w:tcPr>
            <w:tcW w:w="2192" w:type="dxa"/>
            <w:vAlign w:val="center"/>
          </w:tcPr>
          <w:p>
            <w:pPr>
              <w:pStyle w:val="35"/>
              <w:jc w:val="center"/>
            </w:pPr>
            <w:r>
              <w:rPr>
                <w:rFonts w:hint="eastAsia"/>
              </w:rPr>
              <w:t>哲学与人生学习指导（第五版）</w:t>
            </w:r>
          </w:p>
        </w:tc>
        <w:tc>
          <w:tcPr>
            <w:tcW w:w="1275" w:type="dxa"/>
            <w:vAlign w:val="center"/>
          </w:tcPr>
          <w:p>
            <w:pPr>
              <w:pStyle w:val="35"/>
              <w:jc w:val="center"/>
            </w:pPr>
          </w:p>
        </w:tc>
        <w:tc>
          <w:tcPr>
            <w:tcW w:w="1655" w:type="dxa"/>
            <w:vAlign w:val="center"/>
          </w:tcPr>
          <w:p>
            <w:pPr>
              <w:pStyle w:val="35"/>
              <w:jc w:val="center"/>
            </w:pPr>
            <w:r>
              <w:rPr>
                <w:rFonts w:hint="eastAsia"/>
              </w:rPr>
              <w:t>中共中央党校出版社</w:t>
            </w:r>
          </w:p>
        </w:tc>
        <w:tc>
          <w:tcPr>
            <w:tcW w:w="1029" w:type="dxa"/>
            <w:vAlign w:val="center"/>
          </w:tcPr>
          <w:p>
            <w:pPr>
              <w:pStyle w:val="35"/>
              <w:jc w:val="center"/>
            </w:pPr>
            <w:r>
              <w:rPr>
                <w:rFonts w:hint="eastAsia"/>
              </w:rPr>
              <w:t>程小冬</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10" w:type="dxa"/>
            <w:vAlign w:val="center"/>
          </w:tcPr>
          <w:p>
            <w:pPr>
              <w:pStyle w:val="35"/>
              <w:jc w:val="center"/>
              <w:rPr>
                <w:color w:val="000000"/>
              </w:rPr>
            </w:pPr>
            <w:r>
              <w:rPr>
                <w:color w:val="000000"/>
              </w:rPr>
              <w:t>9</w:t>
            </w:r>
          </w:p>
        </w:tc>
        <w:tc>
          <w:tcPr>
            <w:tcW w:w="2192" w:type="dxa"/>
            <w:vAlign w:val="center"/>
          </w:tcPr>
          <w:p>
            <w:pPr>
              <w:pStyle w:val="35"/>
              <w:jc w:val="center"/>
            </w:pPr>
            <w:r>
              <w:rPr>
                <w:rFonts w:hint="eastAsia"/>
              </w:rPr>
              <w:t>中国历史</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朱汉国</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0" w:type="dxa"/>
            <w:vAlign w:val="center"/>
          </w:tcPr>
          <w:p>
            <w:pPr>
              <w:pStyle w:val="35"/>
              <w:jc w:val="center"/>
            </w:pPr>
            <w:r>
              <w:rPr>
                <w:color w:val="000000"/>
              </w:rPr>
              <w:t>10</w:t>
            </w:r>
          </w:p>
        </w:tc>
        <w:tc>
          <w:tcPr>
            <w:tcW w:w="2192" w:type="dxa"/>
            <w:vAlign w:val="center"/>
          </w:tcPr>
          <w:p>
            <w:pPr>
              <w:pStyle w:val="35"/>
              <w:jc w:val="center"/>
            </w:pPr>
            <w:r>
              <w:rPr>
                <w:rFonts w:hint="eastAsia"/>
              </w:rPr>
              <w:t>中国历史同步训练</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何成刚</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10" w:type="dxa"/>
            <w:vAlign w:val="center"/>
          </w:tcPr>
          <w:p>
            <w:pPr>
              <w:pStyle w:val="35"/>
              <w:jc w:val="center"/>
            </w:pPr>
            <w:r>
              <w:rPr>
                <w:color w:val="000000"/>
              </w:rPr>
              <w:t>11</w:t>
            </w:r>
          </w:p>
        </w:tc>
        <w:tc>
          <w:tcPr>
            <w:tcW w:w="2192" w:type="dxa"/>
            <w:vAlign w:val="center"/>
          </w:tcPr>
          <w:p>
            <w:pPr>
              <w:pStyle w:val="35"/>
              <w:jc w:val="center"/>
            </w:pPr>
            <w:r>
              <w:rPr>
                <w:rFonts w:hint="eastAsia"/>
              </w:rPr>
              <w:t>工匠精神—传承与创新</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中共党史出版社</w:t>
            </w:r>
          </w:p>
        </w:tc>
        <w:tc>
          <w:tcPr>
            <w:tcW w:w="1029" w:type="dxa"/>
            <w:vAlign w:val="center"/>
          </w:tcPr>
          <w:p>
            <w:pPr>
              <w:pStyle w:val="35"/>
              <w:jc w:val="center"/>
            </w:pPr>
            <w:r>
              <w:rPr>
                <w:rFonts w:hint="eastAsia"/>
              </w:rPr>
              <w:t>吴顺</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0" w:type="dxa"/>
            <w:vAlign w:val="center"/>
          </w:tcPr>
          <w:p>
            <w:pPr>
              <w:pStyle w:val="35"/>
              <w:jc w:val="center"/>
            </w:pPr>
            <w:r>
              <w:rPr>
                <w:color w:val="000000"/>
              </w:rPr>
              <w:t>12</w:t>
            </w:r>
          </w:p>
        </w:tc>
        <w:tc>
          <w:tcPr>
            <w:tcW w:w="2192" w:type="dxa"/>
            <w:vAlign w:val="center"/>
          </w:tcPr>
          <w:p>
            <w:pPr>
              <w:pStyle w:val="35"/>
              <w:jc w:val="center"/>
            </w:pPr>
            <w:r>
              <w:rPr>
                <w:rFonts w:hint="eastAsia"/>
              </w:rPr>
              <w:t>职业生涯规划（第五版）</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蒋乃平</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13</w:t>
            </w:r>
          </w:p>
        </w:tc>
        <w:tc>
          <w:tcPr>
            <w:tcW w:w="2192" w:type="dxa"/>
            <w:vAlign w:val="center"/>
          </w:tcPr>
          <w:p>
            <w:pPr>
              <w:pStyle w:val="35"/>
              <w:jc w:val="center"/>
            </w:pPr>
            <w:r>
              <w:rPr>
                <w:rFonts w:hint="eastAsia"/>
              </w:rPr>
              <w:t>职业生涯规划学习指导（第五版）</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杜爱玲</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1</w:t>
            </w:r>
            <w:r>
              <w:rPr>
                <w:color w:val="000000"/>
              </w:rPr>
              <w:t>4</w:t>
            </w:r>
          </w:p>
        </w:tc>
        <w:tc>
          <w:tcPr>
            <w:tcW w:w="2192" w:type="dxa"/>
            <w:vAlign w:val="center"/>
          </w:tcPr>
          <w:p>
            <w:pPr>
              <w:pStyle w:val="35"/>
              <w:jc w:val="center"/>
            </w:pPr>
            <w:r>
              <w:rPr>
                <w:rFonts w:hint="eastAsia"/>
              </w:rPr>
              <w:t>职业道德与法律学习指导（第五版）</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张伟</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1</w:t>
            </w:r>
            <w:r>
              <w:rPr>
                <w:color w:val="000000"/>
              </w:rPr>
              <w:t>5</w:t>
            </w:r>
          </w:p>
        </w:tc>
        <w:tc>
          <w:tcPr>
            <w:tcW w:w="2192" w:type="dxa"/>
            <w:vAlign w:val="center"/>
          </w:tcPr>
          <w:p>
            <w:pPr>
              <w:pStyle w:val="35"/>
              <w:jc w:val="center"/>
            </w:pPr>
            <w:r>
              <w:rPr>
                <w:rFonts w:hint="eastAsia"/>
              </w:rPr>
              <w:t>职业道德与法律（第五版）</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张伟</w:t>
            </w:r>
          </w:p>
        </w:tc>
        <w:tc>
          <w:tcPr>
            <w:tcW w:w="1769" w:type="dxa"/>
            <w:vAlign w:val="center"/>
          </w:tcPr>
          <w:p>
            <w:pPr>
              <w:pStyle w:val="35"/>
              <w:jc w:val="center"/>
            </w:pPr>
            <w:r>
              <w:rPr>
                <w:rFonts w:hint="eastAsia"/>
              </w:rPr>
              <w:t>中等职业教育国家规划教材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1</w:t>
            </w:r>
            <w:r>
              <w:rPr>
                <w:color w:val="000000"/>
              </w:rPr>
              <w:t>6</w:t>
            </w:r>
          </w:p>
        </w:tc>
        <w:tc>
          <w:tcPr>
            <w:tcW w:w="2192" w:type="dxa"/>
            <w:vAlign w:val="center"/>
          </w:tcPr>
          <w:p>
            <w:pPr>
              <w:pStyle w:val="35"/>
              <w:jc w:val="center"/>
            </w:pPr>
            <w:r>
              <w:rPr>
                <w:rFonts w:hint="eastAsia"/>
              </w:rPr>
              <w:t>计算机应用基础（基础模块）</w:t>
            </w:r>
          </w:p>
        </w:tc>
        <w:tc>
          <w:tcPr>
            <w:tcW w:w="1275" w:type="dxa"/>
            <w:vAlign w:val="center"/>
          </w:tcPr>
          <w:p>
            <w:pPr>
              <w:pStyle w:val="35"/>
              <w:jc w:val="center"/>
            </w:pPr>
            <w:r>
              <w:rPr>
                <w:rFonts w:hint="eastAsia"/>
              </w:rPr>
              <w:t>2014</w:t>
            </w:r>
          </w:p>
        </w:tc>
        <w:tc>
          <w:tcPr>
            <w:tcW w:w="1655" w:type="dxa"/>
            <w:vAlign w:val="center"/>
          </w:tcPr>
          <w:p>
            <w:pPr>
              <w:pStyle w:val="35"/>
              <w:jc w:val="center"/>
            </w:pPr>
            <w:r>
              <w:rPr>
                <w:rFonts w:hint="eastAsia"/>
              </w:rPr>
              <w:t>电子工业出版社</w:t>
            </w:r>
          </w:p>
        </w:tc>
        <w:tc>
          <w:tcPr>
            <w:tcW w:w="1029" w:type="dxa"/>
            <w:vAlign w:val="center"/>
          </w:tcPr>
          <w:p>
            <w:pPr>
              <w:pStyle w:val="35"/>
              <w:jc w:val="center"/>
            </w:pPr>
            <w:r>
              <w:rPr>
                <w:rFonts w:hint="eastAsia"/>
              </w:rPr>
              <w:t>傅连仲</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1</w:t>
            </w:r>
            <w:r>
              <w:rPr>
                <w:color w:val="000000"/>
              </w:rPr>
              <w:t>7</w:t>
            </w:r>
          </w:p>
        </w:tc>
        <w:tc>
          <w:tcPr>
            <w:tcW w:w="2192" w:type="dxa"/>
            <w:vAlign w:val="center"/>
          </w:tcPr>
          <w:p>
            <w:pPr>
              <w:pStyle w:val="35"/>
              <w:jc w:val="center"/>
            </w:pPr>
            <w:r>
              <w:rPr>
                <w:rFonts w:hint="eastAsia"/>
              </w:rPr>
              <w:t>计算机应用基础（职业模块）</w:t>
            </w:r>
          </w:p>
        </w:tc>
        <w:tc>
          <w:tcPr>
            <w:tcW w:w="1275" w:type="dxa"/>
            <w:vAlign w:val="center"/>
          </w:tcPr>
          <w:p>
            <w:pPr>
              <w:pStyle w:val="35"/>
              <w:jc w:val="center"/>
            </w:pPr>
            <w:r>
              <w:rPr>
                <w:rFonts w:hint="eastAsia"/>
              </w:rPr>
              <w:t>2014</w:t>
            </w:r>
          </w:p>
        </w:tc>
        <w:tc>
          <w:tcPr>
            <w:tcW w:w="1655" w:type="dxa"/>
            <w:vAlign w:val="center"/>
          </w:tcPr>
          <w:p>
            <w:pPr>
              <w:pStyle w:val="35"/>
              <w:jc w:val="center"/>
            </w:pPr>
            <w:r>
              <w:rPr>
                <w:rFonts w:hint="eastAsia"/>
              </w:rPr>
              <w:t>电子工业出版社</w:t>
            </w:r>
          </w:p>
        </w:tc>
        <w:tc>
          <w:tcPr>
            <w:tcW w:w="1029" w:type="dxa"/>
            <w:vAlign w:val="center"/>
          </w:tcPr>
          <w:p>
            <w:pPr>
              <w:pStyle w:val="35"/>
              <w:jc w:val="center"/>
            </w:pPr>
            <w:r>
              <w:rPr>
                <w:rFonts w:hint="eastAsia"/>
              </w:rPr>
              <w:t>傅连仲</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1</w:t>
            </w:r>
            <w:r>
              <w:rPr>
                <w:color w:val="000000"/>
              </w:rPr>
              <w:t>8</w:t>
            </w:r>
          </w:p>
        </w:tc>
        <w:tc>
          <w:tcPr>
            <w:tcW w:w="2192" w:type="dxa"/>
            <w:vAlign w:val="center"/>
          </w:tcPr>
          <w:p>
            <w:pPr>
              <w:pStyle w:val="35"/>
              <w:jc w:val="center"/>
            </w:pPr>
            <w:r>
              <w:rPr>
                <w:rFonts w:hint="eastAsia"/>
              </w:rPr>
              <w:t>数学 （基础模块）上册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李广全</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1</w:t>
            </w:r>
            <w:r>
              <w:rPr>
                <w:color w:val="000000"/>
              </w:rPr>
              <w:t>9</w:t>
            </w:r>
          </w:p>
        </w:tc>
        <w:tc>
          <w:tcPr>
            <w:tcW w:w="2192" w:type="dxa"/>
            <w:vAlign w:val="center"/>
          </w:tcPr>
          <w:p>
            <w:pPr>
              <w:pStyle w:val="35"/>
              <w:jc w:val="center"/>
            </w:pPr>
            <w:r>
              <w:rPr>
                <w:rFonts w:hint="eastAsia"/>
              </w:rPr>
              <w:t>数学 学习与训练（基础模块）上册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李广全</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20</w:t>
            </w:r>
          </w:p>
        </w:tc>
        <w:tc>
          <w:tcPr>
            <w:tcW w:w="2192" w:type="dxa"/>
            <w:vAlign w:val="center"/>
          </w:tcPr>
          <w:p>
            <w:pPr>
              <w:pStyle w:val="35"/>
              <w:jc w:val="center"/>
            </w:pPr>
            <w:r>
              <w:rPr>
                <w:rFonts w:hint="eastAsia"/>
              </w:rPr>
              <w:t>数学 （基础模块）下册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李广全</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21</w:t>
            </w:r>
          </w:p>
        </w:tc>
        <w:tc>
          <w:tcPr>
            <w:tcW w:w="2192" w:type="dxa"/>
            <w:vAlign w:val="center"/>
          </w:tcPr>
          <w:p>
            <w:pPr>
              <w:pStyle w:val="35"/>
              <w:jc w:val="center"/>
            </w:pPr>
            <w:r>
              <w:rPr>
                <w:rFonts w:hint="eastAsia"/>
              </w:rPr>
              <w:t>数学 学习与训练（基础模块）下册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李广全</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22</w:t>
            </w:r>
          </w:p>
        </w:tc>
        <w:tc>
          <w:tcPr>
            <w:tcW w:w="2192" w:type="dxa"/>
            <w:vAlign w:val="center"/>
          </w:tcPr>
          <w:p>
            <w:pPr>
              <w:pStyle w:val="35"/>
              <w:jc w:val="center"/>
            </w:pPr>
            <w:r>
              <w:rPr>
                <w:rFonts w:hint="eastAsia"/>
              </w:rPr>
              <w:t>数学（拓展模块）</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李广全</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23</w:t>
            </w:r>
          </w:p>
        </w:tc>
        <w:tc>
          <w:tcPr>
            <w:tcW w:w="2192" w:type="dxa"/>
            <w:vAlign w:val="center"/>
          </w:tcPr>
          <w:p>
            <w:pPr>
              <w:pStyle w:val="35"/>
              <w:jc w:val="center"/>
            </w:pPr>
            <w:r>
              <w:rPr>
                <w:rFonts w:hint="eastAsia"/>
              </w:rPr>
              <w:t>天津市“三二分段”中职接高职升学考试复习指导-数学</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方媛璐</w:t>
            </w:r>
          </w:p>
        </w:tc>
        <w:tc>
          <w:tcPr>
            <w:tcW w:w="1769" w:type="dxa"/>
            <w:vAlign w:val="center"/>
          </w:tcPr>
          <w:p>
            <w:pPr>
              <w:pStyle w:val="35"/>
              <w:jc w:val="center"/>
            </w:pPr>
            <w:r>
              <w:rPr>
                <w:rFonts w:hint="eastAsia"/>
              </w:rPr>
              <w:t>天津市职业教育升学考试系列用书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24</w:t>
            </w:r>
          </w:p>
        </w:tc>
        <w:tc>
          <w:tcPr>
            <w:tcW w:w="2192" w:type="dxa"/>
            <w:vAlign w:val="center"/>
          </w:tcPr>
          <w:p>
            <w:pPr>
              <w:pStyle w:val="35"/>
              <w:jc w:val="center"/>
            </w:pPr>
            <w:r>
              <w:rPr>
                <w:rFonts w:hint="eastAsia"/>
              </w:rPr>
              <w:t>天津市“三二分段”中职接高职升学考试全真模拟试卷-数学</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方媛璐</w:t>
            </w:r>
          </w:p>
        </w:tc>
        <w:tc>
          <w:tcPr>
            <w:tcW w:w="1769" w:type="dxa"/>
            <w:vAlign w:val="center"/>
          </w:tcPr>
          <w:p>
            <w:pPr>
              <w:pStyle w:val="35"/>
              <w:jc w:val="center"/>
            </w:pPr>
            <w:r>
              <w:rPr>
                <w:rFonts w:hint="eastAsia"/>
              </w:rPr>
              <w:t>天津市职业教育升学考试系列用书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25</w:t>
            </w:r>
          </w:p>
        </w:tc>
        <w:tc>
          <w:tcPr>
            <w:tcW w:w="2192" w:type="dxa"/>
            <w:vAlign w:val="center"/>
          </w:tcPr>
          <w:p>
            <w:pPr>
              <w:pStyle w:val="35"/>
              <w:jc w:val="center"/>
            </w:pPr>
            <w:r>
              <w:rPr>
                <w:rFonts w:hint="eastAsia"/>
              </w:rPr>
              <w:t>公共艺术</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刘五华、胡晓琛</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26</w:t>
            </w:r>
          </w:p>
        </w:tc>
        <w:tc>
          <w:tcPr>
            <w:tcW w:w="2192" w:type="dxa"/>
            <w:vAlign w:val="center"/>
          </w:tcPr>
          <w:p>
            <w:pPr>
              <w:pStyle w:val="35"/>
              <w:jc w:val="center"/>
            </w:pPr>
            <w:r>
              <w:rPr>
                <w:rFonts w:hint="eastAsia"/>
              </w:rPr>
              <w:t>语文（基础模块）上册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27</w:t>
            </w:r>
          </w:p>
        </w:tc>
        <w:tc>
          <w:tcPr>
            <w:tcW w:w="2192" w:type="dxa"/>
            <w:vAlign w:val="center"/>
          </w:tcPr>
          <w:p>
            <w:pPr>
              <w:pStyle w:val="35"/>
              <w:jc w:val="center"/>
            </w:pPr>
            <w:r>
              <w:rPr>
                <w:rFonts w:hint="eastAsia"/>
              </w:rPr>
              <w:t>语文练习册（基础模块）上册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28</w:t>
            </w:r>
          </w:p>
        </w:tc>
        <w:tc>
          <w:tcPr>
            <w:tcW w:w="2192" w:type="dxa"/>
            <w:vAlign w:val="center"/>
          </w:tcPr>
          <w:p>
            <w:pPr>
              <w:pStyle w:val="35"/>
              <w:jc w:val="center"/>
            </w:pPr>
            <w:r>
              <w:rPr>
                <w:rFonts w:hint="eastAsia"/>
              </w:rPr>
              <w:t>语文（基础模块）下册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29</w:t>
            </w:r>
          </w:p>
        </w:tc>
        <w:tc>
          <w:tcPr>
            <w:tcW w:w="2192" w:type="dxa"/>
            <w:vAlign w:val="center"/>
          </w:tcPr>
          <w:p>
            <w:pPr>
              <w:pStyle w:val="35"/>
              <w:jc w:val="center"/>
            </w:pPr>
            <w:r>
              <w:rPr>
                <w:rFonts w:hint="eastAsia"/>
              </w:rPr>
              <w:t>语文练习册（基础模块）下册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30</w:t>
            </w:r>
          </w:p>
        </w:tc>
        <w:tc>
          <w:tcPr>
            <w:tcW w:w="2192" w:type="dxa"/>
            <w:vAlign w:val="center"/>
          </w:tcPr>
          <w:p>
            <w:pPr>
              <w:pStyle w:val="35"/>
              <w:jc w:val="center"/>
            </w:pPr>
            <w:r>
              <w:rPr>
                <w:rFonts w:hint="eastAsia"/>
              </w:rPr>
              <w:t>语文（理工类）</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31</w:t>
            </w:r>
          </w:p>
        </w:tc>
        <w:tc>
          <w:tcPr>
            <w:tcW w:w="2192" w:type="dxa"/>
            <w:vAlign w:val="center"/>
          </w:tcPr>
          <w:p>
            <w:pPr>
              <w:pStyle w:val="35"/>
              <w:jc w:val="center"/>
            </w:pPr>
            <w:r>
              <w:rPr>
                <w:rFonts w:hint="eastAsia"/>
              </w:rPr>
              <w:t>语文练习册（理工类）</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32</w:t>
            </w:r>
          </w:p>
        </w:tc>
        <w:tc>
          <w:tcPr>
            <w:tcW w:w="2192" w:type="dxa"/>
            <w:vAlign w:val="center"/>
          </w:tcPr>
          <w:p>
            <w:pPr>
              <w:pStyle w:val="35"/>
              <w:jc w:val="center"/>
            </w:pPr>
            <w:r>
              <w:rPr>
                <w:rFonts w:hint="eastAsia"/>
              </w:rPr>
              <w:t>语文（拓展模块）</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33</w:t>
            </w:r>
          </w:p>
        </w:tc>
        <w:tc>
          <w:tcPr>
            <w:tcW w:w="2192" w:type="dxa"/>
            <w:vAlign w:val="center"/>
          </w:tcPr>
          <w:p>
            <w:pPr>
              <w:pStyle w:val="35"/>
              <w:jc w:val="center"/>
            </w:pPr>
            <w:r>
              <w:rPr>
                <w:rFonts w:hint="eastAsia"/>
              </w:rPr>
              <w:t>语文练习册（拓展模块）</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赵大鹏</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34</w:t>
            </w:r>
          </w:p>
        </w:tc>
        <w:tc>
          <w:tcPr>
            <w:tcW w:w="2192" w:type="dxa"/>
            <w:vAlign w:val="center"/>
          </w:tcPr>
          <w:p>
            <w:pPr>
              <w:pStyle w:val="35"/>
              <w:jc w:val="center"/>
            </w:pPr>
            <w:r>
              <w:rPr>
                <w:rFonts w:hint="eastAsia"/>
              </w:rPr>
              <w:t>天津市“三二分段”中职接高职升学考试复习指导-语文</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马君</w:t>
            </w:r>
          </w:p>
        </w:tc>
        <w:tc>
          <w:tcPr>
            <w:tcW w:w="1769" w:type="dxa"/>
            <w:vAlign w:val="center"/>
          </w:tcPr>
          <w:p>
            <w:pPr>
              <w:pStyle w:val="35"/>
              <w:jc w:val="center"/>
            </w:pPr>
            <w:r>
              <w:rPr>
                <w:rFonts w:hint="eastAsia"/>
              </w:rPr>
              <w:t>天津市职业教育升学考试系列用书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35</w:t>
            </w:r>
          </w:p>
        </w:tc>
        <w:tc>
          <w:tcPr>
            <w:tcW w:w="2192" w:type="dxa"/>
            <w:vAlign w:val="center"/>
          </w:tcPr>
          <w:p>
            <w:pPr>
              <w:pStyle w:val="35"/>
              <w:jc w:val="center"/>
            </w:pPr>
            <w:r>
              <w:rPr>
                <w:rFonts w:hint="eastAsia"/>
              </w:rPr>
              <w:t>天津市“三二分段”中职接高职升学考试全真模拟试卷-语文</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许君</w:t>
            </w:r>
          </w:p>
        </w:tc>
        <w:tc>
          <w:tcPr>
            <w:tcW w:w="1769" w:type="dxa"/>
            <w:vAlign w:val="center"/>
          </w:tcPr>
          <w:p>
            <w:pPr>
              <w:pStyle w:val="35"/>
              <w:jc w:val="center"/>
            </w:pPr>
            <w:r>
              <w:rPr>
                <w:rFonts w:hint="eastAsia"/>
              </w:rPr>
              <w:t>天津市职业教育升学考试系列用书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36</w:t>
            </w:r>
          </w:p>
        </w:tc>
        <w:tc>
          <w:tcPr>
            <w:tcW w:w="2192" w:type="dxa"/>
            <w:vAlign w:val="center"/>
          </w:tcPr>
          <w:p>
            <w:pPr>
              <w:pStyle w:val="35"/>
              <w:jc w:val="center"/>
            </w:pPr>
            <w:r>
              <w:rPr>
                <w:rFonts w:hint="eastAsia"/>
              </w:rPr>
              <w:t>英语（基础模块）上册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王立善</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37</w:t>
            </w:r>
          </w:p>
        </w:tc>
        <w:tc>
          <w:tcPr>
            <w:tcW w:w="2192" w:type="dxa"/>
            <w:vAlign w:val="center"/>
          </w:tcPr>
          <w:p>
            <w:pPr>
              <w:pStyle w:val="35"/>
              <w:jc w:val="center"/>
            </w:pPr>
            <w:r>
              <w:rPr>
                <w:rFonts w:hint="eastAsia"/>
              </w:rPr>
              <w:t>英语（基础模块）上册练习册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王立善</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38</w:t>
            </w:r>
          </w:p>
        </w:tc>
        <w:tc>
          <w:tcPr>
            <w:tcW w:w="2192" w:type="dxa"/>
            <w:vAlign w:val="center"/>
          </w:tcPr>
          <w:p>
            <w:pPr>
              <w:pStyle w:val="35"/>
              <w:jc w:val="center"/>
            </w:pPr>
            <w:r>
              <w:rPr>
                <w:rFonts w:hint="eastAsia"/>
              </w:rPr>
              <w:t>英语（基础模块）下册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王立善</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39</w:t>
            </w:r>
          </w:p>
        </w:tc>
        <w:tc>
          <w:tcPr>
            <w:tcW w:w="2192" w:type="dxa"/>
            <w:vAlign w:val="center"/>
          </w:tcPr>
          <w:p>
            <w:pPr>
              <w:pStyle w:val="35"/>
              <w:jc w:val="center"/>
            </w:pPr>
            <w:r>
              <w:rPr>
                <w:rFonts w:hint="eastAsia"/>
              </w:rPr>
              <w:t>英语（基础模块）下册练习册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王立善</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40</w:t>
            </w:r>
          </w:p>
        </w:tc>
        <w:tc>
          <w:tcPr>
            <w:tcW w:w="2192" w:type="dxa"/>
            <w:vAlign w:val="center"/>
          </w:tcPr>
          <w:p>
            <w:pPr>
              <w:pStyle w:val="35"/>
              <w:jc w:val="center"/>
            </w:pPr>
            <w:r>
              <w:rPr>
                <w:rFonts w:hint="eastAsia"/>
              </w:rPr>
              <w:t>英语（拓展模块）</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王立善</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41</w:t>
            </w:r>
          </w:p>
        </w:tc>
        <w:tc>
          <w:tcPr>
            <w:tcW w:w="2192" w:type="dxa"/>
            <w:vAlign w:val="center"/>
          </w:tcPr>
          <w:p>
            <w:pPr>
              <w:pStyle w:val="35"/>
              <w:jc w:val="center"/>
            </w:pPr>
            <w:r>
              <w:rPr>
                <w:rFonts w:hint="eastAsia"/>
              </w:rPr>
              <w:t>英语（拓展模块）练习册</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王立善</w:t>
            </w:r>
          </w:p>
        </w:tc>
        <w:tc>
          <w:tcPr>
            <w:tcW w:w="1769" w:type="dxa"/>
            <w:vAlign w:val="center"/>
          </w:tcPr>
          <w:p>
            <w:pPr>
              <w:pStyle w:val="35"/>
              <w:jc w:val="center"/>
            </w:pPr>
            <w:r>
              <w:rPr>
                <w:rFonts w:hint="eastAsia"/>
              </w:rPr>
              <w:t>中等职业教育课程改革国家规划新教材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42</w:t>
            </w:r>
          </w:p>
        </w:tc>
        <w:tc>
          <w:tcPr>
            <w:tcW w:w="2192" w:type="dxa"/>
            <w:vAlign w:val="center"/>
          </w:tcPr>
          <w:p>
            <w:pPr>
              <w:pStyle w:val="35"/>
              <w:jc w:val="center"/>
            </w:pPr>
            <w:r>
              <w:rPr>
                <w:rFonts w:hint="eastAsia"/>
              </w:rPr>
              <w:t>天津市“三二分段”中职接高职升学考试复习指导-英语</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祝宗莹等</w:t>
            </w:r>
          </w:p>
        </w:tc>
        <w:tc>
          <w:tcPr>
            <w:tcW w:w="1769" w:type="dxa"/>
            <w:vAlign w:val="center"/>
          </w:tcPr>
          <w:p>
            <w:pPr>
              <w:pStyle w:val="35"/>
              <w:jc w:val="center"/>
            </w:pPr>
            <w:r>
              <w:rPr>
                <w:rFonts w:hint="eastAsia"/>
              </w:rPr>
              <w:t>天津市职业教育升学考试系列用书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color w:val="000000"/>
              </w:rPr>
              <w:t>43</w:t>
            </w:r>
          </w:p>
        </w:tc>
        <w:tc>
          <w:tcPr>
            <w:tcW w:w="2192" w:type="dxa"/>
            <w:vAlign w:val="center"/>
          </w:tcPr>
          <w:p>
            <w:pPr>
              <w:pStyle w:val="35"/>
              <w:jc w:val="center"/>
            </w:pPr>
            <w:r>
              <w:rPr>
                <w:rFonts w:hint="eastAsia"/>
              </w:rPr>
              <w:t>天津市“三二分段”中职接高职升学考试全真模拟试卷-英语</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语文出版社</w:t>
            </w:r>
          </w:p>
        </w:tc>
        <w:tc>
          <w:tcPr>
            <w:tcW w:w="1029" w:type="dxa"/>
            <w:vAlign w:val="center"/>
          </w:tcPr>
          <w:p>
            <w:pPr>
              <w:pStyle w:val="35"/>
              <w:jc w:val="center"/>
            </w:pPr>
            <w:r>
              <w:rPr>
                <w:rFonts w:hint="eastAsia"/>
              </w:rPr>
              <w:t>左晓妍等</w:t>
            </w:r>
          </w:p>
        </w:tc>
        <w:tc>
          <w:tcPr>
            <w:tcW w:w="1769" w:type="dxa"/>
            <w:vAlign w:val="center"/>
          </w:tcPr>
          <w:p>
            <w:pPr>
              <w:pStyle w:val="35"/>
              <w:jc w:val="center"/>
            </w:pPr>
            <w:r>
              <w:rPr>
                <w:rFonts w:hint="eastAsia"/>
              </w:rPr>
              <w:t>天津市职业教育升学考试系列用书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pPr>
            <w:r>
              <w:rPr>
                <w:rFonts w:hint="eastAsia"/>
                <w:color w:val="000000"/>
              </w:rPr>
              <w:t>4</w:t>
            </w:r>
            <w:r>
              <w:rPr>
                <w:color w:val="000000"/>
              </w:rPr>
              <w:t>4</w:t>
            </w:r>
          </w:p>
        </w:tc>
        <w:tc>
          <w:tcPr>
            <w:tcW w:w="2192" w:type="dxa"/>
            <w:vAlign w:val="center"/>
          </w:tcPr>
          <w:p>
            <w:pPr>
              <w:pStyle w:val="35"/>
              <w:jc w:val="center"/>
            </w:pPr>
            <w:r>
              <w:rPr>
                <w:rFonts w:hint="eastAsia"/>
              </w:rPr>
              <w:t>劳动教育</w:t>
            </w:r>
          </w:p>
        </w:tc>
        <w:tc>
          <w:tcPr>
            <w:tcW w:w="1275" w:type="dxa"/>
            <w:vAlign w:val="center"/>
          </w:tcPr>
          <w:p>
            <w:pPr>
              <w:pStyle w:val="35"/>
              <w:jc w:val="center"/>
            </w:pPr>
            <w:r>
              <w:rPr>
                <w:rFonts w:hint="eastAsia"/>
              </w:rPr>
              <w:t>2020</w:t>
            </w:r>
          </w:p>
        </w:tc>
        <w:tc>
          <w:tcPr>
            <w:tcW w:w="1655" w:type="dxa"/>
            <w:vAlign w:val="center"/>
          </w:tcPr>
          <w:p>
            <w:pPr>
              <w:pStyle w:val="35"/>
              <w:jc w:val="center"/>
            </w:pPr>
            <w:r>
              <w:rPr>
                <w:rFonts w:hint="eastAsia"/>
              </w:rPr>
              <w:t>辽宁教育出版社</w:t>
            </w:r>
          </w:p>
        </w:tc>
        <w:tc>
          <w:tcPr>
            <w:tcW w:w="1029" w:type="dxa"/>
            <w:vAlign w:val="center"/>
          </w:tcPr>
          <w:p>
            <w:pPr>
              <w:pStyle w:val="35"/>
              <w:jc w:val="center"/>
            </w:pPr>
            <w:r>
              <w:rPr>
                <w:rFonts w:hint="eastAsia"/>
              </w:rPr>
              <w:t>范萍</w:t>
            </w:r>
          </w:p>
        </w:tc>
        <w:tc>
          <w:tcPr>
            <w:tcW w:w="1769" w:type="dxa"/>
            <w:vAlign w:val="center"/>
          </w:tcPr>
          <w:p>
            <w:pPr>
              <w:pStyle w:val="35"/>
              <w:jc w:val="center"/>
            </w:pPr>
            <w:r>
              <w:rPr>
                <w:rFonts w:hint="eastAsia"/>
              </w:rPr>
              <w:t>高等职业院校公共基础系列教材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45</w:t>
            </w:r>
          </w:p>
        </w:tc>
        <w:tc>
          <w:tcPr>
            <w:tcW w:w="2192" w:type="dxa"/>
            <w:vAlign w:val="center"/>
          </w:tcPr>
          <w:p>
            <w:pPr>
              <w:pStyle w:val="35"/>
              <w:jc w:val="center"/>
            </w:pPr>
            <w:r>
              <w:rPr>
                <w:rFonts w:hint="eastAsia"/>
              </w:rPr>
              <w:t>习近平新时代中国特色社会主义思想学习纲要</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学习出版社</w:t>
            </w:r>
          </w:p>
        </w:tc>
        <w:tc>
          <w:tcPr>
            <w:tcW w:w="1029" w:type="dxa"/>
            <w:vAlign w:val="center"/>
          </w:tcPr>
          <w:p>
            <w:pPr>
              <w:pStyle w:val="35"/>
              <w:jc w:val="center"/>
            </w:pPr>
            <w:r>
              <w:rPr>
                <w:rFonts w:hint="eastAsia"/>
              </w:rPr>
              <w:t>中共中央宣传部</w:t>
            </w:r>
          </w:p>
        </w:tc>
        <w:tc>
          <w:tcPr>
            <w:tcW w:w="1769" w:type="dxa"/>
            <w:vAlign w:val="center"/>
          </w:tcPr>
          <w:p>
            <w:pPr>
              <w:pStyle w:val="35"/>
              <w:jc w:val="center"/>
            </w:pPr>
            <w:r>
              <w:rPr>
                <w:rFonts w:hint="eastAsia"/>
              </w:rPr>
              <w:t>中央学习辅导用书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46</w:t>
            </w:r>
          </w:p>
        </w:tc>
        <w:tc>
          <w:tcPr>
            <w:tcW w:w="2192" w:type="dxa"/>
            <w:vAlign w:val="center"/>
          </w:tcPr>
          <w:p>
            <w:pPr>
              <w:pStyle w:val="35"/>
              <w:jc w:val="center"/>
            </w:pPr>
            <w:r>
              <w:rPr>
                <w:rFonts w:hint="eastAsia"/>
              </w:rPr>
              <w:t>法律常识</w:t>
            </w:r>
          </w:p>
        </w:tc>
        <w:tc>
          <w:tcPr>
            <w:tcW w:w="1275" w:type="dxa"/>
            <w:vAlign w:val="center"/>
          </w:tcPr>
          <w:p>
            <w:pPr>
              <w:pStyle w:val="35"/>
              <w:jc w:val="center"/>
            </w:pPr>
            <w:r>
              <w:rPr>
                <w:rFonts w:hint="eastAsia"/>
              </w:rPr>
              <w:t>2021</w:t>
            </w:r>
          </w:p>
        </w:tc>
        <w:tc>
          <w:tcPr>
            <w:tcW w:w="1655" w:type="dxa"/>
            <w:vAlign w:val="center"/>
          </w:tcPr>
          <w:p>
            <w:pPr>
              <w:pStyle w:val="35"/>
              <w:jc w:val="center"/>
            </w:pPr>
            <w:r>
              <w:rPr>
                <w:rFonts w:hint="eastAsia"/>
              </w:rPr>
              <w:t>电子科技大学出版社</w:t>
            </w:r>
          </w:p>
        </w:tc>
        <w:tc>
          <w:tcPr>
            <w:tcW w:w="1029" w:type="dxa"/>
            <w:vAlign w:val="center"/>
          </w:tcPr>
          <w:p>
            <w:pPr>
              <w:pStyle w:val="35"/>
              <w:jc w:val="center"/>
            </w:pPr>
            <w:r>
              <w:rPr>
                <w:rFonts w:hint="eastAsia"/>
              </w:rPr>
              <w:t>吴艳霞</w:t>
            </w:r>
          </w:p>
        </w:tc>
        <w:tc>
          <w:tcPr>
            <w:tcW w:w="1769" w:type="dxa"/>
            <w:vAlign w:val="center"/>
          </w:tcPr>
          <w:p>
            <w:pPr>
              <w:pStyle w:val="35"/>
              <w:jc w:val="center"/>
            </w:pPr>
            <w:r>
              <w:rPr>
                <w:rFonts w:hint="eastAsia"/>
              </w:rPr>
              <w:t>创新型素质教育精品教材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47</w:t>
            </w:r>
          </w:p>
        </w:tc>
        <w:tc>
          <w:tcPr>
            <w:tcW w:w="2192" w:type="dxa"/>
            <w:vAlign w:val="center"/>
          </w:tcPr>
          <w:p>
            <w:pPr>
              <w:pStyle w:val="35"/>
              <w:jc w:val="center"/>
            </w:pPr>
            <w:r>
              <w:rPr>
                <w:rFonts w:hint="eastAsia"/>
              </w:rPr>
              <w:t>思想道德与法治</w:t>
            </w:r>
          </w:p>
          <w:p>
            <w:pPr>
              <w:pStyle w:val="35"/>
              <w:jc w:val="center"/>
            </w:pPr>
            <w:r>
              <w:rPr>
                <w:rFonts w:hint="eastAsia"/>
              </w:rPr>
              <w:t>实践教程</w:t>
            </w:r>
          </w:p>
        </w:tc>
        <w:tc>
          <w:tcPr>
            <w:tcW w:w="1275" w:type="dxa"/>
            <w:vAlign w:val="center"/>
          </w:tcPr>
          <w:p>
            <w:pPr>
              <w:pStyle w:val="35"/>
              <w:jc w:val="center"/>
            </w:pPr>
            <w:r>
              <w:rPr>
                <w:rFonts w:hint="eastAsia"/>
              </w:rPr>
              <w:t>20</w:t>
            </w:r>
            <w:r>
              <w:t>18</w:t>
            </w:r>
          </w:p>
        </w:tc>
        <w:tc>
          <w:tcPr>
            <w:tcW w:w="1655" w:type="dxa"/>
            <w:vAlign w:val="center"/>
          </w:tcPr>
          <w:p>
            <w:pPr>
              <w:pStyle w:val="35"/>
              <w:jc w:val="center"/>
            </w:pPr>
            <w:r>
              <w:rPr>
                <w:rFonts w:hint="eastAsia"/>
              </w:rPr>
              <w:t>中共中央党校出版社</w:t>
            </w:r>
          </w:p>
        </w:tc>
        <w:tc>
          <w:tcPr>
            <w:tcW w:w="1029" w:type="dxa"/>
            <w:vAlign w:val="center"/>
          </w:tcPr>
          <w:p>
            <w:pPr>
              <w:pStyle w:val="35"/>
              <w:jc w:val="center"/>
            </w:pPr>
            <w:r>
              <w:rPr>
                <w:rFonts w:hint="eastAsia"/>
              </w:rPr>
              <w:t>编写组</w:t>
            </w:r>
          </w:p>
        </w:tc>
        <w:tc>
          <w:tcPr>
            <w:tcW w:w="1769" w:type="dxa"/>
            <w:vAlign w:val="center"/>
          </w:tcPr>
          <w:p>
            <w:pPr>
              <w:pStyle w:val="35"/>
              <w:jc w:val="center"/>
            </w:pPr>
            <w:r>
              <w:rPr>
                <w:rFonts w:hint="eastAsia"/>
              </w:rPr>
              <w:t>思想政治课教材配套教学用书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48</w:t>
            </w:r>
          </w:p>
        </w:tc>
        <w:tc>
          <w:tcPr>
            <w:tcW w:w="2192" w:type="dxa"/>
            <w:vAlign w:val="center"/>
          </w:tcPr>
          <w:p>
            <w:pPr>
              <w:pStyle w:val="35"/>
              <w:jc w:val="center"/>
            </w:pPr>
            <w:r>
              <w:rPr>
                <w:rFonts w:hint="eastAsia"/>
              </w:rPr>
              <w:t>思想道德与法治</w:t>
            </w:r>
          </w:p>
        </w:tc>
        <w:tc>
          <w:tcPr>
            <w:tcW w:w="1275" w:type="dxa"/>
            <w:vAlign w:val="center"/>
          </w:tcPr>
          <w:p>
            <w:pPr>
              <w:pStyle w:val="35"/>
              <w:jc w:val="center"/>
            </w:pPr>
            <w:r>
              <w:rPr>
                <w:rFonts w:hint="eastAsia"/>
              </w:rPr>
              <w:t>2</w:t>
            </w:r>
            <w:r>
              <w:t>021</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编写组</w:t>
            </w:r>
          </w:p>
        </w:tc>
        <w:tc>
          <w:tcPr>
            <w:tcW w:w="1769" w:type="dxa"/>
            <w:vAlign w:val="center"/>
          </w:tcPr>
          <w:p>
            <w:pPr>
              <w:pStyle w:val="35"/>
              <w:jc w:val="center"/>
            </w:pPr>
            <w:r>
              <w:rPr>
                <w:rFonts w:hint="eastAsia"/>
              </w:rPr>
              <w:t>马克思主义理论研究和建设工程重点教材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49</w:t>
            </w:r>
          </w:p>
        </w:tc>
        <w:tc>
          <w:tcPr>
            <w:tcW w:w="2192" w:type="dxa"/>
            <w:vAlign w:val="center"/>
          </w:tcPr>
          <w:p>
            <w:pPr>
              <w:pStyle w:val="35"/>
              <w:jc w:val="center"/>
            </w:pPr>
            <w:r>
              <w:rPr>
                <w:rFonts w:hint="eastAsia"/>
              </w:rPr>
              <w:t>心理健康教育</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广东教育出版社</w:t>
            </w:r>
          </w:p>
        </w:tc>
        <w:tc>
          <w:tcPr>
            <w:tcW w:w="1029" w:type="dxa"/>
            <w:vAlign w:val="center"/>
          </w:tcPr>
          <w:p>
            <w:pPr>
              <w:pStyle w:val="35"/>
              <w:jc w:val="center"/>
            </w:pPr>
            <w:r>
              <w:rPr>
                <w:rFonts w:hint="eastAsia"/>
              </w:rPr>
              <w:t>韩光道</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50</w:t>
            </w:r>
          </w:p>
        </w:tc>
        <w:tc>
          <w:tcPr>
            <w:tcW w:w="2192" w:type="dxa"/>
            <w:vAlign w:val="center"/>
          </w:tcPr>
          <w:p>
            <w:pPr>
              <w:pStyle w:val="35"/>
              <w:jc w:val="center"/>
            </w:pPr>
            <w:r>
              <w:rPr>
                <w:rFonts w:hint="eastAsia"/>
              </w:rPr>
              <w:t>大学生创新创业基础</w:t>
            </w:r>
          </w:p>
        </w:tc>
        <w:tc>
          <w:tcPr>
            <w:tcW w:w="1275" w:type="dxa"/>
            <w:vAlign w:val="center"/>
          </w:tcPr>
          <w:p>
            <w:pPr>
              <w:pStyle w:val="35"/>
              <w:jc w:val="center"/>
            </w:pPr>
            <w:r>
              <w:rPr>
                <w:rFonts w:hint="eastAsia"/>
              </w:rPr>
              <w:t>2017</w:t>
            </w:r>
          </w:p>
        </w:tc>
        <w:tc>
          <w:tcPr>
            <w:tcW w:w="1655" w:type="dxa"/>
            <w:vAlign w:val="center"/>
          </w:tcPr>
          <w:p>
            <w:pPr>
              <w:pStyle w:val="35"/>
              <w:jc w:val="center"/>
            </w:pPr>
            <w:r>
              <w:rPr>
                <w:rFonts w:hint="eastAsia"/>
              </w:rPr>
              <w:t>中共中央党校出版社</w:t>
            </w:r>
          </w:p>
        </w:tc>
        <w:tc>
          <w:tcPr>
            <w:tcW w:w="1029" w:type="dxa"/>
            <w:vAlign w:val="center"/>
          </w:tcPr>
          <w:p>
            <w:pPr>
              <w:pStyle w:val="35"/>
              <w:jc w:val="center"/>
            </w:pPr>
            <w:r>
              <w:rPr>
                <w:rFonts w:hint="eastAsia"/>
              </w:rPr>
              <w:t>荀海鹏</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51</w:t>
            </w:r>
          </w:p>
        </w:tc>
        <w:tc>
          <w:tcPr>
            <w:tcW w:w="2192" w:type="dxa"/>
            <w:vAlign w:val="center"/>
          </w:tcPr>
          <w:p>
            <w:pPr>
              <w:pStyle w:val="35"/>
              <w:jc w:val="center"/>
            </w:pPr>
            <w:r>
              <w:rPr>
                <w:rFonts w:hint="eastAsia"/>
              </w:rPr>
              <w:t>大学生就业指导第3版</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人民邮电出版社</w:t>
            </w:r>
          </w:p>
        </w:tc>
        <w:tc>
          <w:tcPr>
            <w:tcW w:w="1029" w:type="dxa"/>
            <w:vAlign w:val="center"/>
          </w:tcPr>
          <w:p>
            <w:pPr>
              <w:pStyle w:val="35"/>
              <w:jc w:val="center"/>
            </w:pPr>
            <w:r>
              <w:rPr>
                <w:rFonts w:hint="eastAsia"/>
              </w:rPr>
              <w:t>杨彬 王沛然 李小红</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52</w:t>
            </w:r>
          </w:p>
        </w:tc>
        <w:tc>
          <w:tcPr>
            <w:tcW w:w="2192" w:type="dxa"/>
            <w:vAlign w:val="center"/>
          </w:tcPr>
          <w:p>
            <w:pPr>
              <w:pStyle w:val="35"/>
              <w:jc w:val="center"/>
            </w:pPr>
            <w:r>
              <w:rPr>
                <w:rFonts w:hint="eastAsia"/>
              </w:rPr>
              <w:t>梦想起航  大学生职业生涯规划</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中共中央党校出版社</w:t>
            </w:r>
          </w:p>
        </w:tc>
        <w:tc>
          <w:tcPr>
            <w:tcW w:w="1029" w:type="dxa"/>
            <w:vAlign w:val="center"/>
          </w:tcPr>
          <w:p>
            <w:pPr>
              <w:pStyle w:val="35"/>
              <w:jc w:val="center"/>
            </w:pPr>
            <w:r>
              <w:rPr>
                <w:rFonts w:hint="eastAsia"/>
              </w:rPr>
              <w:t>程小冬</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53</w:t>
            </w:r>
          </w:p>
        </w:tc>
        <w:tc>
          <w:tcPr>
            <w:tcW w:w="2192" w:type="dxa"/>
            <w:vAlign w:val="center"/>
          </w:tcPr>
          <w:p>
            <w:pPr>
              <w:pStyle w:val="35"/>
              <w:jc w:val="center"/>
            </w:pPr>
            <w:r>
              <w:rPr>
                <w:rFonts w:hint="eastAsia"/>
              </w:rPr>
              <w:t>中华传统文化概论</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中共中央党校出版社</w:t>
            </w:r>
          </w:p>
        </w:tc>
        <w:tc>
          <w:tcPr>
            <w:tcW w:w="1029" w:type="dxa"/>
            <w:vAlign w:val="center"/>
          </w:tcPr>
          <w:p>
            <w:pPr>
              <w:pStyle w:val="35"/>
              <w:jc w:val="center"/>
            </w:pPr>
            <w:r>
              <w:rPr>
                <w:rFonts w:hint="eastAsia"/>
              </w:rPr>
              <w:t>编写组</w:t>
            </w:r>
          </w:p>
        </w:tc>
        <w:tc>
          <w:tcPr>
            <w:tcW w:w="1769" w:type="dxa"/>
            <w:vAlign w:val="center"/>
          </w:tcPr>
          <w:p>
            <w:pPr>
              <w:pStyle w:val="35"/>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54</w:t>
            </w:r>
          </w:p>
        </w:tc>
        <w:tc>
          <w:tcPr>
            <w:tcW w:w="2192" w:type="dxa"/>
            <w:vAlign w:val="center"/>
          </w:tcPr>
          <w:p>
            <w:pPr>
              <w:pStyle w:val="35"/>
              <w:jc w:val="center"/>
            </w:pPr>
            <w:r>
              <w:rPr>
                <w:rFonts w:hint="eastAsia"/>
              </w:rPr>
              <w:t>计算机基础</w:t>
            </w:r>
          </w:p>
        </w:tc>
        <w:tc>
          <w:tcPr>
            <w:tcW w:w="1275" w:type="dxa"/>
            <w:vAlign w:val="center"/>
          </w:tcPr>
          <w:p>
            <w:pPr>
              <w:pStyle w:val="35"/>
              <w:jc w:val="center"/>
            </w:pPr>
            <w:r>
              <w:rPr>
                <w:rFonts w:hint="eastAsia"/>
              </w:rPr>
              <w:t>2021</w:t>
            </w:r>
          </w:p>
        </w:tc>
        <w:tc>
          <w:tcPr>
            <w:tcW w:w="1655" w:type="dxa"/>
            <w:vAlign w:val="center"/>
          </w:tcPr>
          <w:p>
            <w:pPr>
              <w:pStyle w:val="35"/>
              <w:jc w:val="center"/>
            </w:pPr>
            <w:r>
              <w:rPr>
                <w:rFonts w:hint="eastAsia"/>
              </w:rPr>
              <w:t>中国医药科技出版社</w:t>
            </w:r>
          </w:p>
        </w:tc>
        <w:tc>
          <w:tcPr>
            <w:tcW w:w="1029" w:type="dxa"/>
            <w:vAlign w:val="center"/>
          </w:tcPr>
          <w:p>
            <w:pPr>
              <w:pStyle w:val="35"/>
              <w:jc w:val="center"/>
            </w:pPr>
            <w:r>
              <w:rPr>
                <w:rFonts w:hint="eastAsia"/>
              </w:rPr>
              <w:t>叶青</w:t>
            </w:r>
          </w:p>
        </w:tc>
        <w:tc>
          <w:tcPr>
            <w:tcW w:w="1769" w:type="dxa"/>
            <w:vAlign w:val="center"/>
          </w:tcPr>
          <w:p>
            <w:pPr>
              <w:pStyle w:val="35"/>
              <w:jc w:val="center"/>
            </w:pPr>
            <w:r>
              <w:rPr>
                <w:rFonts w:hint="eastAsia"/>
              </w:rPr>
              <w:t>全国高职高职院校药学类与食品类专业“十四五”规划教材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55</w:t>
            </w:r>
          </w:p>
        </w:tc>
        <w:tc>
          <w:tcPr>
            <w:tcW w:w="2192" w:type="dxa"/>
            <w:vAlign w:val="center"/>
          </w:tcPr>
          <w:p>
            <w:pPr>
              <w:pStyle w:val="35"/>
              <w:jc w:val="center"/>
            </w:pPr>
            <w:r>
              <w:rPr>
                <w:rFonts w:hint="eastAsia"/>
              </w:rPr>
              <w:t>新编实用英语综合教程1.(天津版）（第三版）</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刘鴻章</w:t>
            </w:r>
          </w:p>
        </w:tc>
        <w:tc>
          <w:tcPr>
            <w:tcW w:w="1769" w:type="dxa"/>
            <w:vAlign w:val="center"/>
          </w:tcPr>
          <w:p>
            <w:pPr>
              <w:pStyle w:val="35"/>
              <w:jc w:val="center"/>
            </w:pPr>
            <w:r>
              <w:rPr>
                <w:rFonts w:hint="eastAsia"/>
              </w:rPr>
              <w:t>高职高专教材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56</w:t>
            </w:r>
          </w:p>
        </w:tc>
        <w:tc>
          <w:tcPr>
            <w:tcW w:w="2192" w:type="dxa"/>
            <w:vAlign w:val="center"/>
          </w:tcPr>
          <w:p>
            <w:pPr>
              <w:pStyle w:val="35"/>
              <w:jc w:val="center"/>
            </w:pPr>
            <w:r>
              <w:rPr>
                <w:rFonts w:hint="eastAsia"/>
              </w:rPr>
              <w:t>新编实用英语综合教程2.(天津版）（第三版）</w:t>
            </w:r>
          </w:p>
        </w:tc>
        <w:tc>
          <w:tcPr>
            <w:tcW w:w="1275" w:type="dxa"/>
            <w:vAlign w:val="center"/>
          </w:tcPr>
          <w:p>
            <w:pPr>
              <w:pStyle w:val="35"/>
              <w:jc w:val="center"/>
            </w:pPr>
            <w:r>
              <w:rPr>
                <w:rFonts w:hint="eastAsia"/>
              </w:rPr>
              <w:t>2018</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刘鴻章</w:t>
            </w:r>
          </w:p>
        </w:tc>
        <w:tc>
          <w:tcPr>
            <w:tcW w:w="1769" w:type="dxa"/>
            <w:vAlign w:val="center"/>
          </w:tcPr>
          <w:p>
            <w:pPr>
              <w:pStyle w:val="35"/>
              <w:jc w:val="center"/>
            </w:pPr>
            <w:r>
              <w:rPr>
                <w:rFonts w:hint="eastAsia"/>
              </w:rPr>
              <w:t>高职高专教材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57</w:t>
            </w:r>
          </w:p>
        </w:tc>
        <w:tc>
          <w:tcPr>
            <w:tcW w:w="2192" w:type="dxa"/>
            <w:vAlign w:val="center"/>
          </w:tcPr>
          <w:p>
            <w:pPr>
              <w:pStyle w:val="35"/>
              <w:jc w:val="center"/>
            </w:pPr>
            <w:r>
              <w:rPr>
                <w:rFonts w:hint="eastAsia"/>
              </w:rPr>
              <w:t>高等数学</w:t>
            </w:r>
          </w:p>
        </w:tc>
        <w:tc>
          <w:tcPr>
            <w:tcW w:w="1275" w:type="dxa"/>
            <w:vAlign w:val="center"/>
          </w:tcPr>
          <w:p>
            <w:pPr>
              <w:pStyle w:val="35"/>
              <w:jc w:val="center"/>
            </w:pPr>
            <w:r>
              <w:t>2021</w:t>
            </w:r>
          </w:p>
        </w:tc>
        <w:tc>
          <w:tcPr>
            <w:tcW w:w="1655" w:type="dxa"/>
            <w:vAlign w:val="center"/>
          </w:tcPr>
          <w:p>
            <w:pPr>
              <w:pStyle w:val="35"/>
              <w:jc w:val="center"/>
            </w:pPr>
            <w:r>
              <w:rPr>
                <w:rFonts w:hint="eastAsia"/>
              </w:rPr>
              <w:t>中国医药科技出版社</w:t>
            </w:r>
          </w:p>
        </w:tc>
        <w:tc>
          <w:tcPr>
            <w:tcW w:w="1029" w:type="dxa"/>
            <w:vAlign w:val="center"/>
          </w:tcPr>
          <w:p>
            <w:pPr>
              <w:pStyle w:val="35"/>
              <w:jc w:val="center"/>
            </w:pPr>
            <w:r>
              <w:rPr>
                <w:rFonts w:hint="eastAsia"/>
              </w:rPr>
              <w:t>方媛璐</w:t>
            </w:r>
          </w:p>
        </w:tc>
        <w:tc>
          <w:tcPr>
            <w:tcW w:w="1769" w:type="dxa"/>
            <w:vAlign w:val="center"/>
          </w:tcPr>
          <w:p>
            <w:pPr>
              <w:pStyle w:val="35"/>
              <w:jc w:val="center"/>
            </w:pPr>
            <w:r>
              <w:rPr>
                <w:rFonts w:hint="eastAsia"/>
              </w:rPr>
              <w:t>全国高职高专院校药学类与食品类专业</w:t>
            </w:r>
            <w:r>
              <w:t>“</w:t>
            </w:r>
            <w:r>
              <w:rPr>
                <w:rFonts w:hint="eastAsia"/>
              </w:rPr>
              <w:t>十四五</w:t>
            </w:r>
            <w:r>
              <w:t>”</w:t>
            </w:r>
            <w:r>
              <w:rPr>
                <w:rFonts w:hint="eastAsia"/>
              </w:rPr>
              <w:t>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58</w:t>
            </w:r>
          </w:p>
        </w:tc>
        <w:tc>
          <w:tcPr>
            <w:tcW w:w="2192" w:type="dxa"/>
            <w:vAlign w:val="center"/>
          </w:tcPr>
          <w:p>
            <w:pPr>
              <w:pStyle w:val="35"/>
              <w:jc w:val="center"/>
            </w:pPr>
            <w:r>
              <w:rPr>
                <w:rFonts w:hint="eastAsia"/>
              </w:rPr>
              <w:t>大学生军事理论教程</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国防大学出版社</w:t>
            </w:r>
          </w:p>
        </w:tc>
        <w:tc>
          <w:tcPr>
            <w:tcW w:w="1029" w:type="dxa"/>
            <w:vAlign w:val="center"/>
          </w:tcPr>
          <w:p>
            <w:pPr>
              <w:pStyle w:val="35"/>
              <w:jc w:val="center"/>
            </w:pPr>
            <w:r>
              <w:rPr>
                <w:rFonts w:hint="eastAsia"/>
              </w:rPr>
              <w:t>张建英</w:t>
            </w:r>
          </w:p>
        </w:tc>
        <w:tc>
          <w:tcPr>
            <w:tcW w:w="1769" w:type="dxa"/>
            <w:vAlign w:val="center"/>
          </w:tcPr>
          <w:p>
            <w:pPr>
              <w:pStyle w:val="35"/>
              <w:jc w:val="center"/>
            </w:pPr>
            <w:r>
              <w:rPr>
                <w:rFonts w:hint="eastAsia"/>
              </w:rPr>
              <w:t>2019教育部、中央军委国防动员部联合制订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59</w:t>
            </w:r>
          </w:p>
        </w:tc>
        <w:tc>
          <w:tcPr>
            <w:tcW w:w="2192" w:type="dxa"/>
            <w:vAlign w:val="center"/>
          </w:tcPr>
          <w:p>
            <w:pPr>
              <w:pStyle w:val="35"/>
              <w:jc w:val="center"/>
            </w:pPr>
            <w:r>
              <w:rPr>
                <w:rFonts w:hint="eastAsia"/>
              </w:rPr>
              <w:t>医药数理统计</w:t>
            </w:r>
          </w:p>
        </w:tc>
        <w:tc>
          <w:tcPr>
            <w:tcW w:w="1275" w:type="dxa"/>
            <w:vAlign w:val="center"/>
          </w:tcPr>
          <w:p>
            <w:pPr>
              <w:pStyle w:val="35"/>
              <w:jc w:val="center"/>
            </w:pPr>
            <w:r>
              <w:rPr>
                <w:rFonts w:hint="eastAsia"/>
              </w:rPr>
              <w:t>2021</w:t>
            </w:r>
          </w:p>
        </w:tc>
        <w:tc>
          <w:tcPr>
            <w:tcW w:w="1655" w:type="dxa"/>
            <w:vAlign w:val="center"/>
          </w:tcPr>
          <w:p>
            <w:pPr>
              <w:pStyle w:val="35"/>
              <w:jc w:val="center"/>
            </w:pPr>
            <w:r>
              <w:rPr>
                <w:rFonts w:hint="eastAsia"/>
              </w:rPr>
              <w:t>中国医药科技出版社</w:t>
            </w:r>
          </w:p>
        </w:tc>
        <w:tc>
          <w:tcPr>
            <w:tcW w:w="1029" w:type="dxa"/>
            <w:vAlign w:val="center"/>
          </w:tcPr>
          <w:p>
            <w:pPr>
              <w:pStyle w:val="35"/>
              <w:jc w:val="center"/>
            </w:pPr>
            <w:r>
              <w:rPr>
                <w:rFonts w:hint="eastAsia"/>
              </w:rPr>
              <w:t>高祖新</w:t>
            </w:r>
          </w:p>
        </w:tc>
        <w:tc>
          <w:tcPr>
            <w:tcW w:w="1769" w:type="dxa"/>
            <w:vAlign w:val="center"/>
          </w:tcPr>
          <w:p>
            <w:pPr>
              <w:pStyle w:val="35"/>
              <w:jc w:val="center"/>
            </w:pPr>
            <w:r>
              <w:rPr>
                <w:rFonts w:hint="eastAsia"/>
              </w:rPr>
              <w:t>全国高职高专院校药学类与食品类专业“十四五”规划教材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60</w:t>
            </w:r>
          </w:p>
        </w:tc>
        <w:tc>
          <w:tcPr>
            <w:tcW w:w="2192" w:type="dxa"/>
            <w:vAlign w:val="center"/>
          </w:tcPr>
          <w:p>
            <w:pPr>
              <w:pStyle w:val="35"/>
              <w:jc w:val="center"/>
            </w:pPr>
            <w:r>
              <w:rPr>
                <w:rFonts w:hint="eastAsia"/>
              </w:rPr>
              <w:t>艺术概论</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高等教育出版社</w:t>
            </w:r>
          </w:p>
        </w:tc>
        <w:tc>
          <w:tcPr>
            <w:tcW w:w="1029" w:type="dxa"/>
            <w:vAlign w:val="center"/>
          </w:tcPr>
          <w:p>
            <w:pPr>
              <w:pStyle w:val="35"/>
              <w:jc w:val="center"/>
            </w:pPr>
            <w:r>
              <w:rPr>
                <w:rFonts w:hint="eastAsia"/>
              </w:rPr>
              <w:t>孙丽华</w:t>
            </w:r>
          </w:p>
        </w:tc>
        <w:tc>
          <w:tcPr>
            <w:tcW w:w="1769" w:type="dxa"/>
            <w:vAlign w:val="center"/>
          </w:tcPr>
          <w:p>
            <w:pPr>
              <w:pStyle w:val="35"/>
              <w:jc w:val="center"/>
            </w:pPr>
            <w:r>
              <w:rPr>
                <w:rFonts w:hint="eastAsia"/>
              </w:rPr>
              <w:t>“十二五”职业教育国家规划教材 高等职业教育新形态一体化教材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61</w:t>
            </w:r>
          </w:p>
        </w:tc>
        <w:tc>
          <w:tcPr>
            <w:tcW w:w="2192" w:type="dxa"/>
            <w:vAlign w:val="center"/>
          </w:tcPr>
          <w:p>
            <w:pPr>
              <w:pStyle w:val="35"/>
              <w:jc w:val="center"/>
            </w:pPr>
            <w:r>
              <w:rPr>
                <w:rFonts w:hint="eastAsia"/>
              </w:rPr>
              <w:t>现代高职体育与健康（上下册）</w:t>
            </w:r>
          </w:p>
        </w:tc>
        <w:tc>
          <w:tcPr>
            <w:tcW w:w="1275" w:type="dxa"/>
            <w:vAlign w:val="center"/>
          </w:tcPr>
          <w:p>
            <w:pPr>
              <w:pStyle w:val="35"/>
              <w:jc w:val="center"/>
            </w:pPr>
            <w:r>
              <w:rPr>
                <w:rFonts w:hint="eastAsia"/>
              </w:rPr>
              <w:t>2017</w:t>
            </w:r>
          </w:p>
        </w:tc>
        <w:tc>
          <w:tcPr>
            <w:tcW w:w="1655" w:type="dxa"/>
            <w:vAlign w:val="center"/>
          </w:tcPr>
          <w:p>
            <w:pPr>
              <w:pStyle w:val="35"/>
              <w:jc w:val="center"/>
            </w:pPr>
            <w:r>
              <w:rPr>
                <w:rFonts w:hint="eastAsia"/>
              </w:rPr>
              <w:t>教育科学出版社有限公司</w:t>
            </w:r>
          </w:p>
        </w:tc>
        <w:tc>
          <w:tcPr>
            <w:tcW w:w="1029" w:type="dxa"/>
            <w:vAlign w:val="center"/>
          </w:tcPr>
          <w:p>
            <w:pPr>
              <w:pStyle w:val="35"/>
              <w:jc w:val="center"/>
            </w:pPr>
            <w:r>
              <w:rPr>
                <w:rFonts w:hint="eastAsia"/>
              </w:rPr>
              <w:t>方儒钦</w:t>
            </w:r>
          </w:p>
        </w:tc>
        <w:tc>
          <w:tcPr>
            <w:tcW w:w="1769" w:type="dxa"/>
            <w:vAlign w:val="center"/>
          </w:tcPr>
          <w:p>
            <w:pPr>
              <w:pStyle w:val="35"/>
              <w:jc w:val="center"/>
            </w:pPr>
            <w:r>
              <w:rPr>
                <w:rFonts w:hint="eastAsia"/>
              </w:rPr>
              <w:t>职业教育十三五教材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0" w:type="dxa"/>
            <w:vAlign w:val="center"/>
          </w:tcPr>
          <w:p>
            <w:pPr>
              <w:pStyle w:val="35"/>
              <w:jc w:val="center"/>
              <w:rPr>
                <w:color w:val="000000"/>
              </w:rPr>
            </w:pPr>
            <w:r>
              <w:rPr>
                <w:color w:val="000000"/>
              </w:rPr>
              <w:t>62</w:t>
            </w:r>
          </w:p>
        </w:tc>
        <w:tc>
          <w:tcPr>
            <w:tcW w:w="2192" w:type="dxa"/>
            <w:vAlign w:val="center"/>
          </w:tcPr>
          <w:p>
            <w:pPr>
              <w:pStyle w:val="35"/>
              <w:jc w:val="center"/>
            </w:pPr>
            <w:r>
              <w:rPr>
                <w:rFonts w:hint="eastAsia"/>
              </w:rPr>
              <w:t>大学语文（第二版）</w:t>
            </w:r>
          </w:p>
        </w:tc>
        <w:tc>
          <w:tcPr>
            <w:tcW w:w="1275" w:type="dxa"/>
            <w:vAlign w:val="center"/>
          </w:tcPr>
          <w:p>
            <w:pPr>
              <w:pStyle w:val="35"/>
              <w:jc w:val="center"/>
            </w:pPr>
            <w:r>
              <w:rPr>
                <w:rFonts w:hint="eastAsia"/>
              </w:rPr>
              <w:t>2019</w:t>
            </w:r>
          </w:p>
        </w:tc>
        <w:tc>
          <w:tcPr>
            <w:tcW w:w="1655" w:type="dxa"/>
            <w:vAlign w:val="center"/>
          </w:tcPr>
          <w:p>
            <w:pPr>
              <w:pStyle w:val="35"/>
              <w:jc w:val="center"/>
            </w:pPr>
            <w:r>
              <w:rPr>
                <w:rFonts w:hint="eastAsia"/>
              </w:rPr>
              <w:t>高等教育出版社有限公司</w:t>
            </w:r>
          </w:p>
        </w:tc>
        <w:tc>
          <w:tcPr>
            <w:tcW w:w="1029" w:type="dxa"/>
            <w:vAlign w:val="center"/>
          </w:tcPr>
          <w:p>
            <w:pPr>
              <w:pStyle w:val="35"/>
              <w:jc w:val="center"/>
            </w:pPr>
            <w:r>
              <w:rPr>
                <w:rFonts w:hint="eastAsia"/>
              </w:rPr>
              <w:t>蒋雪艳</w:t>
            </w:r>
          </w:p>
        </w:tc>
        <w:tc>
          <w:tcPr>
            <w:tcW w:w="1769" w:type="dxa"/>
            <w:vAlign w:val="center"/>
          </w:tcPr>
          <w:p>
            <w:pPr>
              <w:pStyle w:val="35"/>
              <w:jc w:val="center"/>
            </w:pPr>
            <w:r>
              <w:rPr>
                <w:rFonts w:hint="eastAsia"/>
              </w:rPr>
              <w:t>职业教育十三五教材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0" w:type="dxa"/>
            <w:vAlign w:val="center"/>
          </w:tcPr>
          <w:p>
            <w:pPr>
              <w:pStyle w:val="35"/>
              <w:jc w:val="center"/>
              <w:rPr>
                <w:color w:val="000000"/>
              </w:rPr>
            </w:pPr>
            <w:r>
              <w:rPr>
                <w:color w:val="000000"/>
              </w:rPr>
              <w:t>63</w:t>
            </w:r>
          </w:p>
        </w:tc>
        <w:tc>
          <w:tcPr>
            <w:tcW w:w="2192" w:type="dxa"/>
            <w:vAlign w:val="center"/>
          </w:tcPr>
          <w:p>
            <w:pPr>
              <w:pStyle w:val="35"/>
              <w:jc w:val="center"/>
            </w:pPr>
            <w:r>
              <w:rPr>
                <w:rFonts w:hint="eastAsia"/>
              </w:rPr>
              <w:t>药用微生物技术（第二版）</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李榆梅</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10" w:type="dxa"/>
            <w:vAlign w:val="center"/>
          </w:tcPr>
          <w:p>
            <w:pPr>
              <w:pStyle w:val="35"/>
              <w:jc w:val="center"/>
              <w:rPr>
                <w:color w:val="000000"/>
              </w:rPr>
            </w:pPr>
            <w:r>
              <w:rPr>
                <w:color w:val="000000"/>
              </w:rPr>
              <w:t>64</w:t>
            </w:r>
          </w:p>
        </w:tc>
        <w:tc>
          <w:tcPr>
            <w:tcW w:w="2192" w:type="dxa"/>
            <w:vAlign w:val="center"/>
          </w:tcPr>
          <w:p>
            <w:pPr>
              <w:pStyle w:val="35"/>
              <w:jc w:val="center"/>
            </w:pPr>
            <w:r>
              <w:rPr>
                <w:rFonts w:hint="eastAsia"/>
              </w:rPr>
              <w:t>生物制药工程技术与设备（第一版）</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罗合春</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10" w:type="dxa"/>
            <w:vAlign w:val="center"/>
          </w:tcPr>
          <w:p>
            <w:pPr>
              <w:pStyle w:val="35"/>
              <w:jc w:val="center"/>
              <w:rPr>
                <w:color w:val="000000"/>
              </w:rPr>
            </w:pPr>
            <w:r>
              <w:rPr>
                <w:color w:val="000000"/>
              </w:rPr>
              <w:t>65</w:t>
            </w:r>
          </w:p>
        </w:tc>
        <w:tc>
          <w:tcPr>
            <w:tcW w:w="2192" w:type="dxa"/>
            <w:vAlign w:val="center"/>
          </w:tcPr>
          <w:p>
            <w:pPr>
              <w:pStyle w:val="35"/>
              <w:jc w:val="center"/>
            </w:pPr>
            <w:r>
              <w:rPr>
                <w:rFonts w:hint="eastAsia"/>
              </w:rPr>
              <w:t>细胞培养技术</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兰容</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10" w:type="dxa"/>
            <w:vAlign w:val="center"/>
          </w:tcPr>
          <w:p>
            <w:pPr>
              <w:pStyle w:val="35"/>
              <w:jc w:val="center"/>
              <w:rPr>
                <w:color w:val="000000"/>
              </w:rPr>
            </w:pPr>
            <w:r>
              <w:rPr>
                <w:color w:val="000000"/>
              </w:rPr>
              <w:t>66</w:t>
            </w:r>
          </w:p>
        </w:tc>
        <w:tc>
          <w:tcPr>
            <w:tcW w:w="2192" w:type="dxa"/>
            <w:vAlign w:val="center"/>
          </w:tcPr>
          <w:p>
            <w:pPr>
              <w:pStyle w:val="35"/>
              <w:jc w:val="center"/>
            </w:pPr>
            <w:r>
              <w:rPr>
                <w:rFonts w:hint="eastAsia"/>
              </w:rPr>
              <w:t>生物药品</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人民卫生出版社</w:t>
            </w:r>
          </w:p>
        </w:tc>
        <w:tc>
          <w:tcPr>
            <w:tcW w:w="1029" w:type="dxa"/>
            <w:vAlign w:val="center"/>
          </w:tcPr>
          <w:p>
            <w:pPr>
              <w:pStyle w:val="35"/>
              <w:jc w:val="center"/>
            </w:pPr>
            <w:r>
              <w:rPr>
                <w:rFonts w:hint="eastAsia"/>
              </w:rPr>
              <w:t>须建</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10" w:type="dxa"/>
            <w:vAlign w:val="center"/>
          </w:tcPr>
          <w:p>
            <w:pPr>
              <w:pStyle w:val="35"/>
              <w:jc w:val="center"/>
              <w:rPr>
                <w:color w:val="000000"/>
              </w:rPr>
            </w:pPr>
            <w:r>
              <w:rPr>
                <w:color w:val="000000"/>
              </w:rPr>
              <w:t>67</w:t>
            </w:r>
          </w:p>
        </w:tc>
        <w:tc>
          <w:tcPr>
            <w:tcW w:w="2192" w:type="dxa"/>
            <w:vAlign w:val="center"/>
          </w:tcPr>
          <w:p>
            <w:pPr>
              <w:pStyle w:val="35"/>
              <w:jc w:val="center"/>
            </w:pPr>
            <w:r>
              <w:rPr>
                <w:rFonts w:hint="eastAsia"/>
              </w:rPr>
              <w:t>医药企业药事管理与法规</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中国医药科技出版社</w:t>
            </w:r>
          </w:p>
        </w:tc>
        <w:tc>
          <w:tcPr>
            <w:tcW w:w="1029" w:type="dxa"/>
            <w:vAlign w:val="center"/>
          </w:tcPr>
          <w:p>
            <w:pPr>
              <w:pStyle w:val="35"/>
              <w:jc w:val="center"/>
            </w:pPr>
            <w:r>
              <w:rPr>
                <w:rFonts w:hint="eastAsia"/>
              </w:rPr>
              <w:t>张寅玲</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10" w:type="dxa"/>
            <w:vAlign w:val="center"/>
          </w:tcPr>
          <w:p>
            <w:pPr>
              <w:pStyle w:val="35"/>
              <w:jc w:val="center"/>
              <w:rPr>
                <w:color w:val="000000"/>
              </w:rPr>
            </w:pPr>
            <w:r>
              <w:rPr>
                <w:color w:val="000000"/>
              </w:rPr>
              <w:t>68</w:t>
            </w:r>
          </w:p>
        </w:tc>
        <w:tc>
          <w:tcPr>
            <w:tcW w:w="2192" w:type="dxa"/>
            <w:vAlign w:val="center"/>
          </w:tcPr>
          <w:p>
            <w:pPr>
              <w:pStyle w:val="35"/>
              <w:jc w:val="center"/>
            </w:pPr>
            <w:r>
              <w:rPr>
                <w:rFonts w:hint="eastAsia"/>
              </w:rPr>
              <w:t>分子生物学基础及应用技术</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陶杰</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10" w:type="dxa"/>
            <w:vAlign w:val="center"/>
          </w:tcPr>
          <w:p>
            <w:pPr>
              <w:pStyle w:val="35"/>
              <w:jc w:val="center"/>
              <w:rPr>
                <w:color w:val="000000"/>
              </w:rPr>
            </w:pPr>
            <w:r>
              <w:rPr>
                <w:color w:val="000000"/>
              </w:rPr>
              <w:t>69</w:t>
            </w:r>
          </w:p>
        </w:tc>
        <w:tc>
          <w:tcPr>
            <w:tcW w:w="2192" w:type="dxa"/>
            <w:vAlign w:val="center"/>
          </w:tcPr>
          <w:p>
            <w:pPr>
              <w:pStyle w:val="35"/>
              <w:jc w:val="center"/>
            </w:pPr>
            <w:r>
              <w:rPr>
                <w:rFonts w:hint="eastAsia"/>
              </w:rPr>
              <w:t>发酵工程（第二版）</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刘冬</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10" w:type="dxa"/>
            <w:vAlign w:val="center"/>
          </w:tcPr>
          <w:p>
            <w:pPr>
              <w:pStyle w:val="35"/>
              <w:jc w:val="center"/>
              <w:rPr>
                <w:color w:val="000000"/>
              </w:rPr>
            </w:pPr>
            <w:r>
              <w:rPr>
                <w:color w:val="000000"/>
              </w:rPr>
              <w:t>70</w:t>
            </w:r>
          </w:p>
        </w:tc>
        <w:tc>
          <w:tcPr>
            <w:tcW w:w="2192" w:type="dxa"/>
            <w:vAlign w:val="center"/>
          </w:tcPr>
          <w:p>
            <w:pPr>
              <w:pStyle w:val="35"/>
              <w:jc w:val="center"/>
            </w:pPr>
            <w:r>
              <w:rPr>
                <w:rFonts w:hint="eastAsia"/>
              </w:rPr>
              <w:t>生物分离与纯化技术</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邱玉华</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10" w:type="dxa"/>
            <w:vAlign w:val="center"/>
          </w:tcPr>
          <w:p>
            <w:pPr>
              <w:pStyle w:val="35"/>
              <w:jc w:val="center"/>
              <w:rPr>
                <w:color w:val="000000"/>
              </w:rPr>
            </w:pPr>
            <w:r>
              <w:rPr>
                <w:color w:val="000000"/>
              </w:rPr>
              <w:t>71</w:t>
            </w:r>
          </w:p>
        </w:tc>
        <w:tc>
          <w:tcPr>
            <w:tcW w:w="2192" w:type="dxa"/>
            <w:vAlign w:val="center"/>
          </w:tcPr>
          <w:p>
            <w:pPr>
              <w:pStyle w:val="35"/>
              <w:jc w:val="center"/>
            </w:pPr>
            <w:r>
              <w:rPr>
                <w:rFonts w:hint="eastAsia"/>
              </w:rPr>
              <w:t>制剂制造岗位实践教程</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校本</w:t>
            </w:r>
          </w:p>
        </w:tc>
        <w:tc>
          <w:tcPr>
            <w:tcW w:w="1029" w:type="dxa"/>
            <w:vAlign w:val="center"/>
          </w:tcPr>
          <w:p>
            <w:pPr>
              <w:pStyle w:val="35"/>
              <w:jc w:val="center"/>
            </w:pPr>
            <w:r>
              <w:rPr>
                <w:rFonts w:hint="eastAsia"/>
              </w:rPr>
              <w:t>鲍长丽</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0" w:type="dxa"/>
            <w:vAlign w:val="center"/>
          </w:tcPr>
          <w:p>
            <w:pPr>
              <w:pStyle w:val="35"/>
              <w:jc w:val="center"/>
              <w:rPr>
                <w:color w:val="000000"/>
              </w:rPr>
            </w:pPr>
            <w:r>
              <w:rPr>
                <w:color w:val="000000"/>
              </w:rPr>
              <w:t>72</w:t>
            </w:r>
          </w:p>
        </w:tc>
        <w:tc>
          <w:tcPr>
            <w:tcW w:w="2192" w:type="dxa"/>
            <w:vAlign w:val="center"/>
          </w:tcPr>
          <w:p>
            <w:pPr>
              <w:pStyle w:val="35"/>
              <w:jc w:val="center"/>
            </w:pPr>
            <w:r>
              <w:rPr>
                <w:rFonts w:hint="eastAsia"/>
              </w:rPr>
              <w:t>生物制药岗位综合实训</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李榆梅</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0" w:type="dxa"/>
            <w:vAlign w:val="center"/>
          </w:tcPr>
          <w:p>
            <w:pPr>
              <w:pStyle w:val="35"/>
              <w:jc w:val="center"/>
              <w:rPr>
                <w:color w:val="000000"/>
              </w:rPr>
            </w:pPr>
            <w:r>
              <w:rPr>
                <w:color w:val="000000"/>
              </w:rPr>
              <w:t>73</w:t>
            </w:r>
          </w:p>
        </w:tc>
        <w:tc>
          <w:tcPr>
            <w:tcW w:w="2192" w:type="dxa"/>
            <w:vAlign w:val="center"/>
          </w:tcPr>
          <w:p>
            <w:pPr>
              <w:pStyle w:val="35"/>
              <w:jc w:val="center"/>
            </w:pPr>
            <w:r>
              <w:t>大学语文</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t>中国水利水电出版社</w:t>
            </w:r>
          </w:p>
        </w:tc>
        <w:tc>
          <w:tcPr>
            <w:tcW w:w="1029" w:type="dxa"/>
            <w:vAlign w:val="center"/>
          </w:tcPr>
          <w:p>
            <w:pPr>
              <w:pStyle w:val="35"/>
              <w:jc w:val="center"/>
            </w:pPr>
            <w:bookmarkStart w:id="121" w:name="_GoBack"/>
            <w:bookmarkEnd w:id="121"/>
            <w:r>
              <w:t>杜启蓉</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0" w:type="dxa"/>
            <w:vAlign w:val="center"/>
          </w:tcPr>
          <w:p>
            <w:pPr>
              <w:pStyle w:val="35"/>
              <w:jc w:val="center"/>
              <w:rPr>
                <w:color w:val="000000"/>
              </w:rPr>
            </w:pPr>
            <w:r>
              <w:rPr>
                <w:color w:val="000000"/>
              </w:rPr>
              <w:t>74</w:t>
            </w:r>
          </w:p>
        </w:tc>
        <w:tc>
          <w:tcPr>
            <w:tcW w:w="2192" w:type="dxa"/>
            <w:vAlign w:val="center"/>
          </w:tcPr>
          <w:p>
            <w:pPr>
              <w:pStyle w:val="35"/>
              <w:jc w:val="center"/>
            </w:pPr>
            <w:r>
              <w:rPr>
                <w:rFonts w:hint="eastAsia"/>
              </w:rPr>
              <w:t>生物信息学分析实践</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科学出版社</w:t>
            </w:r>
          </w:p>
        </w:tc>
        <w:tc>
          <w:tcPr>
            <w:tcW w:w="1029" w:type="dxa"/>
            <w:vAlign w:val="center"/>
          </w:tcPr>
          <w:p>
            <w:pPr>
              <w:pStyle w:val="35"/>
              <w:jc w:val="center"/>
            </w:pPr>
            <w:r>
              <w:rPr>
                <w:rFonts w:hint="eastAsia"/>
              </w:rPr>
              <w:t>吴组建</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0" w:type="dxa"/>
            <w:vAlign w:val="center"/>
          </w:tcPr>
          <w:p>
            <w:pPr>
              <w:pStyle w:val="35"/>
              <w:jc w:val="center"/>
              <w:rPr>
                <w:color w:val="000000"/>
              </w:rPr>
            </w:pPr>
            <w:r>
              <w:rPr>
                <w:color w:val="000000"/>
              </w:rPr>
              <w:t>75</w:t>
            </w:r>
          </w:p>
        </w:tc>
        <w:tc>
          <w:tcPr>
            <w:tcW w:w="2192" w:type="dxa"/>
            <w:vAlign w:val="center"/>
          </w:tcPr>
          <w:p>
            <w:pPr>
              <w:pStyle w:val="35"/>
              <w:jc w:val="center"/>
            </w:pPr>
            <w:r>
              <w:rPr>
                <w:rFonts w:hint="eastAsia"/>
              </w:rPr>
              <w:t>药品营销技术</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严 振</w:t>
            </w:r>
          </w:p>
        </w:tc>
        <w:tc>
          <w:tcPr>
            <w:tcW w:w="1769" w:type="dxa"/>
            <w:vAlign w:val="center"/>
          </w:tcPr>
          <w:p>
            <w:pPr>
              <w:pStyle w:val="35"/>
              <w:jc w:val="center"/>
            </w:pPr>
            <w:r>
              <w:rPr>
                <w:rFonts w:hint="eastAsia"/>
              </w:rPr>
              <w:t>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0" w:type="dxa"/>
            <w:vAlign w:val="center"/>
          </w:tcPr>
          <w:p>
            <w:pPr>
              <w:pStyle w:val="35"/>
              <w:jc w:val="center"/>
              <w:rPr>
                <w:color w:val="000000"/>
              </w:rPr>
            </w:pPr>
            <w:r>
              <w:rPr>
                <w:color w:val="000000"/>
              </w:rPr>
              <w:t>76</w:t>
            </w:r>
          </w:p>
        </w:tc>
        <w:tc>
          <w:tcPr>
            <w:tcW w:w="2192" w:type="dxa"/>
            <w:vAlign w:val="center"/>
          </w:tcPr>
          <w:p>
            <w:pPr>
              <w:pStyle w:val="35"/>
              <w:jc w:val="center"/>
            </w:pPr>
            <w:r>
              <w:rPr>
                <w:rFonts w:hint="eastAsia"/>
              </w:rPr>
              <w:t>药物合成技术</w:t>
            </w:r>
          </w:p>
        </w:tc>
        <w:tc>
          <w:tcPr>
            <w:tcW w:w="1275" w:type="dxa"/>
            <w:vAlign w:val="center"/>
          </w:tcPr>
          <w:p>
            <w:pPr>
              <w:pStyle w:val="35"/>
              <w:jc w:val="center"/>
            </w:pPr>
            <w:r>
              <w:rPr>
                <w:rFonts w:hint="eastAsia"/>
              </w:rPr>
              <w:t>201</w:t>
            </w:r>
            <w:r>
              <w:t>6</w:t>
            </w:r>
          </w:p>
        </w:tc>
        <w:tc>
          <w:tcPr>
            <w:tcW w:w="1655" w:type="dxa"/>
            <w:vAlign w:val="center"/>
          </w:tcPr>
          <w:p>
            <w:pPr>
              <w:pStyle w:val="35"/>
              <w:jc w:val="center"/>
            </w:pPr>
            <w:r>
              <w:rPr>
                <w:rFonts w:hint="eastAsia"/>
              </w:rPr>
              <w:t>化学工业出版社</w:t>
            </w:r>
          </w:p>
        </w:tc>
        <w:tc>
          <w:tcPr>
            <w:tcW w:w="1029" w:type="dxa"/>
            <w:vAlign w:val="center"/>
          </w:tcPr>
          <w:p>
            <w:pPr>
              <w:pStyle w:val="35"/>
              <w:jc w:val="center"/>
            </w:pPr>
            <w:r>
              <w:rPr>
                <w:rFonts w:hint="eastAsia"/>
              </w:rPr>
              <w:t>钱清华</w:t>
            </w:r>
          </w:p>
        </w:tc>
        <w:tc>
          <w:tcPr>
            <w:tcW w:w="1769" w:type="dxa"/>
            <w:vAlign w:val="center"/>
          </w:tcPr>
          <w:p>
            <w:pPr>
              <w:pStyle w:val="35"/>
              <w:jc w:val="center"/>
            </w:pPr>
            <w:r>
              <w:rPr>
                <w:rFonts w:hint="eastAsia"/>
              </w:rPr>
              <w:t>高职</w:t>
            </w:r>
          </w:p>
        </w:tc>
      </w:tr>
    </w:tbl>
    <w:p>
      <w:pPr>
        <w:pStyle w:val="3"/>
        <w:ind w:firstLine="564"/>
      </w:pPr>
      <w:bookmarkStart w:id="105" w:name="_Toc90896286"/>
      <w:bookmarkStart w:id="106" w:name="_Toc360873457"/>
      <w:bookmarkStart w:id="107" w:name="_Toc76494832"/>
      <w:bookmarkStart w:id="108" w:name="_Toc90889474"/>
      <w:r>
        <w:rPr>
          <w:rFonts w:hint="eastAsia"/>
        </w:rPr>
        <w:t>（四）教学方法</w:t>
      </w:r>
      <w:bookmarkEnd w:id="105"/>
      <w:bookmarkEnd w:id="106"/>
      <w:bookmarkEnd w:id="107"/>
      <w:bookmarkEnd w:id="108"/>
    </w:p>
    <w:p>
      <w:pPr>
        <w:ind w:firstLine="482"/>
      </w:pPr>
      <w:r>
        <w:rPr>
          <w:rFonts w:hint="eastAsia"/>
        </w:rPr>
        <w:t>本专业在教学方法与手段上要不断创新，跟上教育教学改革的步伐，使知识与技能能更有效地传递给学生。鼓励教学设计与活动与企业合作进行，使具有丰富实践经验的行业企业技术与技能专家参与人才培养全过程，体现职业要素和产业特征。采用任务驱动、项目导向、工作室、创新室等多种形式的教、学、做、练一体化教学模式，为学生自主学习提供便利。</w:t>
      </w:r>
    </w:p>
    <w:p>
      <w:pPr>
        <w:pStyle w:val="3"/>
        <w:ind w:firstLine="564"/>
      </w:pPr>
      <w:bookmarkStart w:id="109" w:name="_Toc360873458"/>
      <w:bookmarkStart w:id="110" w:name="_Toc76494833"/>
      <w:bookmarkStart w:id="111" w:name="_Toc90896287"/>
      <w:bookmarkStart w:id="112" w:name="_Toc90889475"/>
      <w:r>
        <w:rPr>
          <w:rFonts w:hint="eastAsia"/>
        </w:rPr>
        <w:t>（五）</w:t>
      </w:r>
      <w:bookmarkEnd w:id="109"/>
      <w:r>
        <w:rPr>
          <w:rFonts w:hint="eastAsia"/>
        </w:rPr>
        <w:t>学习评价</w:t>
      </w:r>
      <w:bookmarkEnd w:id="110"/>
      <w:bookmarkEnd w:id="111"/>
      <w:bookmarkEnd w:id="112"/>
    </w:p>
    <w:p>
      <w:pPr>
        <w:ind w:firstLine="482"/>
      </w:pPr>
      <w:r>
        <w:rPr>
          <w:rFonts w:hint="eastAsia"/>
        </w:rPr>
        <w:t xml:space="preserve">1．理论知识评价与实践技能评价相结合； </w:t>
      </w:r>
    </w:p>
    <w:p>
      <w:pPr>
        <w:ind w:firstLine="482"/>
      </w:pPr>
      <w:r>
        <w:rPr>
          <w:rFonts w:hint="eastAsia"/>
        </w:rPr>
        <w:t xml:space="preserve">2．过程性评价与终结性评价相结合； </w:t>
      </w:r>
    </w:p>
    <w:p>
      <w:pPr>
        <w:ind w:firstLine="482"/>
      </w:pPr>
      <w:r>
        <w:rPr>
          <w:rFonts w:hint="eastAsia"/>
        </w:rPr>
        <w:t xml:space="preserve">3．教师评价与多方评价（包括学生和企业）相结合； </w:t>
      </w:r>
    </w:p>
    <w:p>
      <w:pPr>
        <w:ind w:firstLine="482"/>
      </w:pPr>
      <w:r>
        <w:rPr>
          <w:rFonts w:hint="eastAsia"/>
        </w:rPr>
        <w:t>4．鼓励探索多种形式的评价方式。</w:t>
      </w:r>
    </w:p>
    <w:p>
      <w:pPr>
        <w:pStyle w:val="3"/>
        <w:ind w:firstLine="564"/>
      </w:pPr>
      <w:bookmarkStart w:id="113" w:name="_Toc90889476"/>
      <w:bookmarkStart w:id="114" w:name="_Toc76494834"/>
      <w:bookmarkStart w:id="115" w:name="_Toc90896288"/>
      <w:bookmarkStart w:id="116" w:name="_Toc360873459"/>
      <w:r>
        <w:rPr>
          <w:rFonts w:hint="eastAsia"/>
        </w:rPr>
        <w:t>（六）质量管理</w:t>
      </w:r>
      <w:bookmarkEnd w:id="113"/>
      <w:bookmarkEnd w:id="114"/>
      <w:bookmarkEnd w:id="115"/>
      <w:bookmarkEnd w:id="116"/>
    </w:p>
    <w:p>
      <w:pPr>
        <w:ind w:firstLine="482"/>
      </w:pPr>
      <w:r>
        <w:rPr>
          <w:rFonts w:hint="eastAsia"/>
        </w:rPr>
        <w:t>随着多种教学组织形式和实践教学安排的特殊要求，传统的固定教学管理模式已经不实用了。应该构建教育目标与质量的刚性要求、教学组织形式的柔性化管理的机制，以保证学生的理论学习与实训的时间和效果。</w:t>
      </w:r>
    </w:p>
    <w:p>
      <w:pPr>
        <w:pStyle w:val="2"/>
        <w:ind w:firstLine="564"/>
      </w:pPr>
      <w:bookmarkStart w:id="117" w:name="_Toc360873460"/>
      <w:bookmarkStart w:id="118" w:name="_Toc90896289"/>
      <w:bookmarkStart w:id="119" w:name="_Toc90889477"/>
      <w:r>
        <w:rPr>
          <w:rFonts w:hint="eastAsia"/>
        </w:rPr>
        <w:t>九、</w:t>
      </w:r>
      <w:bookmarkEnd w:id="117"/>
      <w:r>
        <w:rPr>
          <w:rFonts w:hint="eastAsia"/>
        </w:rPr>
        <w:t>毕业要求</w:t>
      </w:r>
      <w:bookmarkEnd w:id="118"/>
      <w:bookmarkEnd w:id="119"/>
    </w:p>
    <w:p>
      <w:pPr>
        <w:ind w:firstLine="482"/>
        <w:rPr>
          <w:rFonts w:hint="eastAsia" w:eastAsia="方正仿宋简体"/>
        </w:rPr>
      </w:pPr>
      <w:r>
        <w:t>学生通过</w:t>
      </w:r>
      <w:r>
        <w:rPr>
          <w:rFonts w:hint="eastAsia"/>
        </w:rPr>
        <w:t>2年学习</w:t>
      </w:r>
      <w:r>
        <w:t>，须修满的专业人才培养方案所规定的学时</w:t>
      </w:r>
      <w:r>
        <w:rPr>
          <w:rFonts w:hint="eastAsia"/>
        </w:rPr>
        <w:t>和</w:t>
      </w:r>
      <w:r>
        <w:t>学分，完成规定的教学活动，毕业时达到</w:t>
      </w:r>
      <w:r>
        <w:rPr>
          <w:rFonts w:hint="eastAsia"/>
        </w:rPr>
        <w:t>本专业所要求的</w:t>
      </w:r>
      <w:r>
        <w:t>素质、知识和能力等方面要求。毕业要求应能支撑培养目标的有效达成</w:t>
      </w:r>
      <w:r>
        <w:rPr>
          <w:rFonts w:eastAsia="方正仿宋简体"/>
        </w:rPr>
        <w:t>。</w:t>
      </w:r>
      <w:bookmarkStart w:id="120" w:name="_Toc347251085"/>
    </w:p>
    <w:p>
      <w:pPr>
        <w:pStyle w:val="2"/>
        <w:ind w:firstLine="564"/>
      </w:pPr>
      <w:r>
        <w:rPr>
          <w:rFonts w:hint="eastAsia"/>
        </w:rPr>
        <w:t>十、附录</w:t>
      </w:r>
    </w:p>
    <w:p>
      <w:pPr>
        <w:ind w:firstLine="482"/>
        <w:rPr>
          <w:rFonts w:hint="eastAsia" w:eastAsia="方正仿宋简体"/>
        </w:rPr>
      </w:pPr>
    </w:p>
    <w:bookmarkEnd w:id="120"/>
    <w:p>
      <w:pPr>
        <w:keepNext/>
        <w:keepLines/>
        <w:spacing w:before="340" w:after="330" w:line="578" w:lineRule="auto"/>
        <w:ind w:firstLine="0" w:firstLineChars="0"/>
        <w:outlineLvl w:val="0"/>
        <w:rPr>
          <w:rFonts w:ascii="黑体" w:hAnsi="宋体" w:eastAsia="黑体"/>
          <w:kern w:val="44"/>
          <w:sz w:val="28"/>
          <w:szCs w:val="28"/>
        </w:rPr>
      </w:pPr>
      <w:r>
        <w:rPr>
          <w:rFonts w:hint="eastAsia" w:ascii="黑体" w:hAnsi="宋体" w:eastAsia="黑体"/>
          <w:kern w:val="44"/>
          <w:sz w:val="28"/>
          <w:szCs w:val="28"/>
        </w:rPr>
        <w:t>附录</w:t>
      </w:r>
      <w:r>
        <w:rPr>
          <w:rFonts w:hint="eastAsia" w:ascii="宋体" w:hAnsi="宋体"/>
          <w:bCs/>
          <w:kern w:val="44"/>
          <w:szCs w:val="44"/>
        </w:rPr>
        <w:t>1.</w:t>
      </w:r>
      <w:r>
        <w:rPr>
          <w:rFonts w:hint="eastAsia" w:ascii="黑体" w:hAnsi="宋体" w:eastAsia="黑体"/>
          <w:kern w:val="44"/>
          <w:sz w:val="28"/>
          <w:szCs w:val="28"/>
        </w:rPr>
        <w:t>生物制药技术三二分段专业</w:t>
      </w:r>
      <w:r>
        <w:rPr>
          <w:rFonts w:ascii="黑体" w:hAnsi="宋体" w:eastAsia="黑体"/>
          <w:kern w:val="44"/>
          <w:sz w:val="28"/>
          <w:szCs w:val="28"/>
        </w:rPr>
        <w:t>2021</w:t>
      </w:r>
      <w:r>
        <w:rPr>
          <w:rFonts w:hint="eastAsia" w:ascii="黑体" w:hAnsi="宋体" w:eastAsia="黑体"/>
          <w:kern w:val="44"/>
          <w:sz w:val="28"/>
          <w:szCs w:val="28"/>
        </w:rPr>
        <w:t>级课程教学进程表</w:t>
      </w:r>
    </w:p>
    <w:p>
      <w:pPr>
        <w:widowControl/>
        <w:ind w:firstLine="482"/>
        <w:jc w:val="left"/>
        <w:rPr>
          <w:b/>
          <w:bCs/>
          <w:kern w:val="44"/>
          <w:sz w:val="28"/>
          <w:szCs w:val="28"/>
        </w:rPr>
      </w:pPr>
      <w:r>
        <w:drawing>
          <wp:inline distT="0" distB="0" distL="0" distR="0">
            <wp:extent cx="5588635" cy="8201660"/>
            <wp:effectExtent l="0" t="0" r="12065" b="8890"/>
            <wp:docPr id="1" name="图片 1"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图片1.png图片1"/>
                    <pic:cNvPicPr>
                      <a:picLocks noChangeAspect="1" noChangeArrowheads="1"/>
                    </pic:cNvPicPr>
                  </pic:nvPicPr>
                  <pic:blipFill>
                    <a:blip r:embed="rId14"/>
                    <a:srcRect/>
                    <a:stretch>
                      <a:fillRect/>
                    </a:stretch>
                  </pic:blipFill>
                  <pic:spPr>
                    <a:xfrm>
                      <a:off x="0" y="0"/>
                      <a:ext cx="5588635" cy="8201891"/>
                    </a:xfrm>
                    <a:prstGeom prst="rect">
                      <a:avLst/>
                    </a:prstGeom>
                    <a:noFill/>
                    <a:ln>
                      <a:noFill/>
                    </a:ln>
                  </pic:spPr>
                </pic:pic>
              </a:graphicData>
            </a:graphic>
          </wp:inline>
        </w:drawing>
      </w:r>
    </w:p>
    <w:sectPr>
      <w:footerReference r:id="rId12" w:type="first"/>
      <w:footerReference r:id="rId11" w:type="default"/>
      <w:pgSz w:w="11906" w:h="16838"/>
      <w:pgMar w:top="1134" w:right="1134" w:bottom="1134" w:left="1701" w:header="0" w:footer="850" w:gutter="0"/>
      <w:pgNumType w:start="1"/>
      <w:cols w:space="720" w:num="1"/>
      <w:titlePg/>
      <w:docGrid w:type="linesAndChars" w:linePitch="316"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Damascus">
    <w:altName w:val="Segoe Print"/>
    <w:panose1 w:val="00000000000000000000"/>
    <w:charset w:val="00"/>
    <w:family w:val="auto"/>
    <w:pitch w:val="default"/>
    <w:sig w:usb0="00000000" w:usb1="00000000" w:usb2="14000008"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33</w:t>
    </w:r>
    <w:r>
      <w:fldChar w:fldCharType="end"/>
    </w:r>
  </w:p>
  <w:p>
    <w:pPr>
      <w:pStyle w:val="19"/>
      <w:ind w:firstLine="420"/>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1</w:t>
    </w:r>
    <w:r>
      <w:fldChar w:fldCharType="end"/>
    </w:r>
  </w:p>
  <w:p>
    <w:pPr>
      <w:pStyle w:val="1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8"/>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mZhNzg2NTNiZmEzNWRiNzQ4YWE2NmRjN2MzYzQifQ=="/>
  </w:docVars>
  <w:rsids>
    <w:rsidRoot w:val="00AC32E2"/>
    <w:rsid w:val="00003EC9"/>
    <w:rsid w:val="000057AA"/>
    <w:rsid w:val="000105B5"/>
    <w:rsid w:val="0001346B"/>
    <w:rsid w:val="00015F9F"/>
    <w:rsid w:val="00023836"/>
    <w:rsid w:val="00024B40"/>
    <w:rsid w:val="00031DCF"/>
    <w:rsid w:val="0003325C"/>
    <w:rsid w:val="00034643"/>
    <w:rsid w:val="00035219"/>
    <w:rsid w:val="0003570C"/>
    <w:rsid w:val="00040BCE"/>
    <w:rsid w:val="000423ED"/>
    <w:rsid w:val="000426EC"/>
    <w:rsid w:val="00042E1C"/>
    <w:rsid w:val="00042E9E"/>
    <w:rsid w:val="000441A0"/>
    <w:rsid w:val="000449DB"/>
    <w:rsid w:val="00044F24"/>
    <w:rsid w:val="00053B93"/>
    <w:rsid w:val="00054206"/>
    <w:rsid w:val="000655CE"/>
    <w:rsid w:val="0007306C"/>
    <w:rsid w:val="00075750"/>
    <w:rsid w:val="0007624C"/>
    <w:rsid w:val="00083206"/>
    <w:rsid w:val="00086A10"/>
    <w:rsid w:val="00086D88"/>
    <w:rsid w:val="00090B57"/>
    <w:rsid w:val="00093D0F"/>
    <w:rsid w:val="00094454"/>
    <w:rsid w:val="000960B9"/>
    <w:rsid w:val="00096E34"/>
    <w:rsid w:val="000A2AD4"/>
    <w:rsid w:val="000A3C3B"/>
    <w:rsid w:val="000A4273"/>
    <w:rsid w:val="000B6E74"/>
    <w:rsid w:val="000B734B"/>
    <w:rsid w:val="000C04EE"/>
    <w:rsid w:val="000C0AF9"/>
    <w:rsid w:val="000D17D4"/>
    <w:rsid w:val="000D5621"/>
    <w:rsid w:val="000D5AF0"/>
    <w:rsid w:val="000E4236"/>
    <w:rsid w:val="000E5FD7"/>
    <w:rsid w:val="000F0114"/>
    <w:rsid w:val="000F25CC"/>
    <w:rsid w:val="0011282C"/>
    <w:rsid w:val="00114091"/>
    <w:rsid w:val="00120DD4"/>
    <w:rsid w:val="0012248E"/>
    <w:rsid w:val="00123AA4"/>
    <w:rsid w:val="001258CB"/>
    <w:rsid w:val="00132394"/>
    <w:rsid w:val="0013404D"/>
    <w:rsid w:val="00135B7A"/>
    <w:rsid w:val="00136C3D"/>
    <w:rsid w:val="00137EB1"/>
    <w:rsid w:val="00144B6B"/>
    <w:rsid w:val="001517DC"/>
    <w:rsid w:val="00151DDE"/>
    <w:rsid w:val="00154579"/>
    <w:rsid w:val="00154903"/>
    <w:rsid w:val="00156437"/>
    <w:rsid w:val="00161172"/>
    <w:rsid w:val="001631DE"/>
    <w:rsid w:val="001644DC"/>
    <w:rsid w:val="00167E36"/>
    <w:rsid w:val="0018047A"/>
    <w:rsid w:val="00180DC8"/>
    <w:rsid w:val="00182599"/>
    <w:rsid w:val="00182F3F"/>
    <w:rsid w:val="00184F9B"/>
    <w:rsid w:val="001907C0"/>
    <w:rsid w:val="00196270"/>
    <w:rsid w:val="001A0513"/>
    <w:rsid w:val="001B2774"/>
    <w:rsid w:val="001B53B0"/>
    <w:rsid w:val="001B6EF3"/>
    <w:rsid w:val="001C1C23"/>
    <w:rsid w:val="001C4235"/>
    <w:rsid w:val="001C4B57"/>
    <w:rsid w:val="001C5E63"/>
    <w:rsid w:val="001D0105"/>
    <w:rsid w:val="001D11F6"/>
    <w:rsid w:val="001D38FF"/>
    <w:rsid w:val="001D565C"/>
    <w:rsid w:val="001E6C78"/>
    <w:rsid w:val="001E7697"/>
    <w:rsid w:val="001E7B43"/>
    <w:rsid w:val="001F14DA"/>
    <w:rsid w:val="001F1794"/>
    <w:rsid w:val="001F338C"/>
    <w:rsid w:val="001F7313"/>
    <w:rsid w:val="001F7652"/>
    <w:rsid w:val="002012BD"/>
    <w:rsid w:val="002015AE"/>
    <w:rsid w:val="00202BE7"/>
    <w:rsid w:val="00204F62"/>
    <w:rsid w:val="0020661A"/>
    <w:rsid w:val="00213BDA"/>
    <w:rsid w:val="002156A9"/>
    <w:rsid w:val="002158EB"/>
    <w:rsid w:val="00216A38"/>
    <w:rsid w:val="00222C8D"/>
    <w:rsid w:val="00227398"/>
    <w:rsid w:val="002304C6"/>
    <w:rsid w:val="002362F4"/>
    <w:rsid w:val="00243030"/>
    <w:rsid w:val="00244041"/>
    <w:rsid w:val="002444D3"/>
    <w:rsid w:val="002465CE"/>
    <w:rsid w:val="00254BAF"/>
    <w:rsid w:val="00254E71"/>
    <w:rsid w:val="002573DA"/>
    <w:rsid w:val="00260AB7"/>
    <w:rsid w:val="00261BB5"/>
    <w:rsid w:val="0026256B"/>
    <w:rsid w:val="0027049B"/>
    <w:rsid w:val="00272064"/>
    <w:rsid w:val="002801FC"/>
    <w:rsid w:val="00282519"/>
    <w:rsid w:val="002851FA"/>
    <w:rsid w:val="0029009A"/>
    <w:rsid w:val="00296222"/>
    <w:rsid w:val="002A4D21"/>
    <w:rsid w:val="002A6DEE"/>
    <w:rsid w:val="002B08A4"/>
    <w:rsid w:val="002B67FE"/>
    <w:rsid w:val="002C007A"/>
    <w:rsid w:val="002C0D62"/>
    <w:rsid w:val="002C0DE6"/>
    <w:rsid w:val="002C633B"/>
    <w:rsid w:val="002C70A4"/>
    <w:rsid w:val="002C76D5"/>
    <w:rsid w:val="002D0C69"/>
    <w:rsid w:val="002D1755"/>
    <w:rsid w:val="002D4A07"/>
    <w:rsid w:val="002D4B6F"/>
    <w:rsid w:val="002D5149"/>
    <w:rsid w:val="002D5F24"/>
    <w:rsid w:val="002E022B"/>
    <w:rsid w:val="002E10EC"/>
    <w:rsid w:val="002E370E"/>
    <w:rsid w:val="002E4C7E"/>
    <w:rsid w:val="002E5470"/>
    <w:rsid w:val="002F0C2B"/>
    <w:rsid w:val="002F664F"/>
    <w:rsid w:val="002F67D1"/>
    <w:rsid w:val="00300E85"/>
    <w:rsid w:val="00306C9B"/>
    <w:rsid w:val="00313E80"/>
    <w:rsid w:val="00322398"/>
    <w:rsid w:val="0032515A"/>
    <w:rsid w:val="00333F03"/>
    <w:rsid w:val="00343BE7"/>
    <w:rsid w:val="0034414C"/>
    <w:rsid w:val="003506D0"/>
    <w:rsid w:val="00351BEE"/>
    <w:rsid w:val="003528F2"/>
    <w:rsid w:val="0036155A"/>
    <w:rsid w:val="003639AC"/>
    <w:rsid w:val="00366891"/>
    <w:rsid w:val="00372D45"/>
    <w:rsid w:val="00376431"/>
    <w:rsid w:val="003773AD"/>
    <w:rsid w:val="003779F2"/>
    <w:rsid w:val="0038770B"/>
    <w:rsid w:val="003975D5"/>
    <w:rsid w:val="003A73CB"/>
    <w:rsid w:val="003B31EB"/>
    <w:rsid w:val="003C6484"/>
    <w:rsid w:val="003C72E3"/>
    <w:rsid w:val="003D043E"/>
    <w:rsid w:val="003D100C"/>
    <w:rsid w:val="003D2111"/>
    <w:rsid w:val="003D5B43"/>
    <w:rsid w:val="003D6A6F"/>
    <w:rsid w:val="003D7DCC"/>
    <w:rsid w:val="003E06EE"/>
    <w:rsid w:val="003E21FA"/>
    <w:rsid w:val="003E2FC2"/>
    <w:rsid w:val="003E69C6"/>
    <w:rsid w:val="003F1C6C"/>
    <w:rsid w:val="003F4FFD"/>
    <w:rsid w:val="003F510F"/>
    <w:rsid w:val="004042B6"/>
    <w:rsid w:val="00421FEC"/>
    <w:rsid w:val="004223BE"/>
    <w:rsid w:val="00426686"/>
    <w:rsid w:val="00426A91"/>
    <w:rsid w:val="00427BBF"/>
    <w:rsid w:val="00430B9D"/>
    <w:rsid w:val="00430FA4"/>
    <w:rsid w:val="004462B2"/>
    <w:rsid w:val="00463816"/>
    <w:rsid w:val="00470847"/>
    <w:rsid w:val="00473AC6"/>
    <w:rsid w:val="004762F5"/>
    <w:rsid w:val="00485160"/>
    <w:rsid w:val="004857D7"/>
    <w:rsid w:val="004917C0"/>
    <w:rsid w:val="00492902"/>
    <w:rsid w:val="004A0B33"/>
    <w:rsid w:val="004A1A2F"/>
    <w:rsid w:val="004A1A9F"/>
    <w:rsid w:val="004A5017"/>
    <w:rsid w:val="004B061B"/>
    <w:rsid w:val="004B0D7B"/>
    <w:rsid w:val="004D072C"/>
    <w:rsid w:val="004D2B9E"/>
    <w:rsid w:val="004D33A5"/>
    <w:rsid w:val="004E18AF"/>
    <w:rsid w:val="004E23B4"/>
    <w:rsid w:val="004F1257"/>
    <w:rsid w:val="004F2D52"/>
    <w:rsid w:val="004F5400"/>
    <w:rsid w:val="004F59AE"/>
    <w:rsid w:val="00500BB8"/>
    <w:rsid w:val="00501CED"/>
    <w:rsid w:val="00522DC9"/>
    <w:rsid w:val="00527509"/>
    <w:rsid w:val="00530FFD"/>
    <w:rsid w:val="00533712"/>
    <w:rsid w:val="005409AF"/>
    <w:rsid w:val="00545232"/>
    <w:rsid w:val="00546E6C"/>
    <w:rsid w:val="005507FD"/>
    <w:rsid w:val="00553D29"/>
    <w:rsid w:val="005548C9"/>
    <w:rsid w:val="005600A5"/>
    <w:rsid w:val="00572CDD"/>
    <w:rsid w:val="00573989"/>
    <w:rsid w:val="00573E90"/>
    <w:rsid w:val="0057457F"/>
    <w:rsid w:val="005748B8"/>
    <w:rsid w:val="00583290"/>
    <w:rsid w:val="00586716"/>
    <w:rsid w:val="00597474"/>
    <w:rsid w:val="00597D66"/>
    <w:rsid w:val="005A06ED"/>
    <w:rsid w:val="005A28DE"/>
    <w:rsid w:val="005A7A54"/>
    <w:rsid w:val="005B79A7"/>
    <w:rsid w:val="005C42D9"/>
    <w:rsid w:val="005D045D"/>
    <w:rsid w:val="005D0CC5"/>
    <w:rsid w:val="005D2B7D"/>
    <w:rsid w:val="005E2621"/>
    <w:rsid w:val="005E7A9D"/>
    <w:rsid w:val="005F5230"/>
    <w:rsid w:val="006004A9"/>
    <w:rsid w:val="00602CE6"/>
    <w:rsid w:val="006112E5"/>
    <w:rsid w:val="00611312"/>
    <w:rsid w:val="00611FD0"/>
    <w:rsid w:val="00614DFC"/>
    <w:rsid w:val="0062211F"/>
    <w:rsid w:val="00625D46"/>
    <w:rsid w:val="00626774"/>
    <w:rsid w:val="00632290"/>
    <w:rsid w:val="006400DE"/>
    <w:rsid w:val="00662C25"/>
    <w:rsid w:val="006658E0"/>
    <w:rsid w:val="00666C8A"/>
    <w:rsid w:val="00667CD6"/>
    <w:rsid w:val="00674430"/>
    <w:rsid w:val="00680EE5"/>
    <w:rsid w:val="006903FC"/>
    <w:rsid w:val="00691275"/>
    <w:rsid w:val="006966C6"/>
    <w:rsid w:val="006A31AF"/>
    <w:rsid w:val="006A3531"/>
    <w:rsid w:val="006A6C77"/>
    <w:rsid w:val="006B1EE6"/>
    <w:rsid w:val="006B37D9"/>
    <w:rsid w:val="006B590D"/>
    <w:rsid w:val="006B71F2"/>
    <w:rsid w:val="006C36FF"/>
    <w:rsid w:val="006C46C3"/>
    <w:rsid w:val="006C4D6D"/>
    <w:rsid w:val="006C4E60"/>
    <w:rsid w:val="006D08B6"/>
    <w:rsid w:val="006D44A0"/>
    <w:rsid w:val="006D490A"/>
    <w:rsid w:val="006E03BB"/>
    <w:rsid w:val="006E12E9"/>
    <w:rsid w:val="006E1518"/>
    <w:rsid w:val="006F1F7B"/>
    <w:rsid w:val="00707F50"/>
    <w:rsid w:val="00710F02"/>
    <w:rsid w:val="00712BCD"/>
    <w:rsid w:val="00712EEC"/>
    <w:rsid w:val="00714469"/>
    <w:rsid w:val="00715212"/>
    <w:rsid w:val="007247BD"/>
    <w:rsid w:val="00724D6C"/>
    <w:rsid w:val="007274E9"/>
    <w:rsid w:val="0073710E"/>
    <w:rsid w:val="00740A8C"/>
    <w:rsid w:val="00740F70"/>
    <w:rsid w:val="007453CD"/>
    <w:rsid w:val="007453FE"/>
    <w:rsid w:val="00746662"/>
    <w:rsid w:val="0075018D"/>
    <w:rsid w:val="007544BB"/>
    <w:rsid w:val="00756A75"/>
    <w:rsid w:val="00764266"/>
    <w:rsid w:val="007669E1"/>
    <w:rsid w:val="00767064"/>
    <w:rsid w:val="0077245B"/>
    <w:rsid w:val="0077275E"/>
    <w:rsid w:val="007752DF"/>
    <w:rsid w:val="007764D9"/>
    <w:rsid w:val="00777939"/>
    <w:rsid w:val="00777CF6"/>
    <w:rsid w:val="00782942"/>
    <w:rsid w:val="00782F4C"/>
    <w:rsid w:val="00786356"/>
    <w:rsid w:val="00786710"/>
    <w:rsid w:val="0079515B"/>
    <w:rsid w:val="007A024B"/>
    <w:rsid w:val="007A04A9"/>
    <w:rsid w:val="007A08AA"/>
    <w:rsid w:val="007A161B"/>
    <w:rsid w:val="007A2431"/>
    <w:rsid w:val="007A5D6E"/>
    <w:rsid w:val="007A7F65"/>
    <w:rsid w:val="007B022D"/>
    <w:rsid w:val="007B5CF6"/>
    <w:rsid w:val="007C088D"/>
    <w:rsid w:val="007C5D78"/>
    <w:rsid w:val="007D003B"/>
    <w:rsid w:val="007D5A57"/>
    <w:rsid w:val="007E177C"/>
    <w:rsid w:val="007E6F18"/>
    <w:rsid w:val="007F0F7D"/>
    <w:rsid w:val="007F3547"/>
    <w:rsid w:val="007F4312"/>
    <w:rsid w:val="007F5EA7"/>
    <w:rsid w:val="00800478"/>
    <w:rsid w:val="0080317F"/>
    <w:rsid w:val="00803D69"/>
    <w:rsid w:val="008100BC"/>
    <w:rsid w:val="00811A01"/>
    <w:rsid w:val="00811E7F"/>
    <w:rsid w:val="00812210"/>
    <w:rsid w:val="00815AB7"/>
    <w:rsid w:val="0081690A"/>
    <w:rsid w:val="008260CD"/>
    <w:rsid w:val="0082719C"/>
    <w:rsid w:val="0083582D"/>
    <w:rsid w:val="0084204B"/>
    <w:rsid w:val="008439A8"/>
    <w:rsid w:val="0084573E"/>
    <w:rsid w:val="00863BC4"/>
    <w:rsid w:val="008842B6"/>
    <w:rsid w:val="0089701F"/>
    <w:rsid w:val="008B1D18"/>
    <w:rsid w:val="008B27AF"/>
    <w:rsid w:val="008B2B32"/>
    <w:rsid w:val="008B4385"/>
    <w:rsid w:val="008C08FB"/>
    <w:rsid w:val="008C1EE4"/>
    <w:rsid w:val="008C2A1C"/>
    <w:rsid w:val="008C5F49"/>
    <w:rsid w:val="008C7ACE"/>
    <w:rsid w:val="008D74F8"/>
    <w:rsid w:val="008E3FC7"/>
    <w:rsid w:val="008E5AE5"/>
    <w:rsid w:val="008F44D9"/>
    <w:rsid w:val="00900BCD"/>
    <w:rsid w:val="00901721"/>
    <w:rsid w:val="00901CB1"/>
    <w:rsid w:val="009027E7"/>
    <w:rsid w:val="00904ACB"/>
    <w:rsid w:val="00904DF7"/>
    <w:rsid w:val="00917449"/>
    <w:rsid w:val="00920F3B"/>
    <w:rsid w:val="00922786"/>
    <w:rsid w:val="00923FF6"/>
    <w:rsid w:val="0092591D"/>
    <w:rsid w:val="00926E03"/>
    <w:rsid w:val="00930681"/>
    <w:rsid w:val="00935E91"/>
    <w:rsid w:val="009362B3"/>
    <w:rsid w:val="009379FA"/>
    <w:rsid w:val="00942697"/>
    <w:rsid w:val="00942C6F"/>
    <w:rsid w:val="00947512"/>
    <w:rsid w:val="00951C23"/>
    <w:rsid w:val="00955269"/>
    <w:rsid w:val="009552F4"/>
    <w:rsid w:val="00970CAB"/>
    <w:rsid w:val="00971090"/>
    <w:rsid w:val="00971A8E"/>
    <w:rsid w:val="00973601"/>
    <w:rsid w:val="00977B83"/>
    <w:rsid w:val="00981649"/>
    <w:rsid w:val="00982BA2"/>
    <w:rsid w:val="00984072"/>
    <w:rsid w:val="00986EBA"/>
    <w:rsid w:val="00996C10"/>
    <w:rsid w:val="009A3662"/>
    <w:rsid w:val="009A4A85"/>
    <w:rsid w:val="009A646A"/>
    <w:rsid w:val="009B367B"/>
    <w:rsid w:val="009C3C9A"/>
    <w:rsid w:val="009C503B"/>
    <w:rsid w:val="009D2A05"/>
    <w:rsid w:val="009D5465"/>
    <w:rsid w:val="009D617F"/>
    <w:rsid w:val="009D6915"/>
    <w:rsid w:val="009D7D0B"/>
    <w:rsid w:val="009E0681"/>
    <w:rsid w:val="009E25E6"/>
    <w:rsid w:val="009E2AE1"/>
    <w:rsid w:val="009E2D36"/>
    <w:rsid w:val="009E5F80"/>
    <w:rsid w:val="009E6E8B"/>
    <w:rsid w:val="009F2352"/>
    <w:rsid w:val="009F46E2"/>
    <w:rsid w:val="00A033FE"/>
    <w:rsid w:val="00A03775"/>
    <w:rsid w:val="00A11EAC"/>
    <w:rsid w:val="00A122DD"/>
    <w:rsid w:val="00A129B7"/>
    <w:rsid w:val="00A12D30"/>
    <w:rsid w:val="00A13B05"/>
    <w:rsid w:val="00A1650E"/>
    <w:rsid w:val="00A204F0"/>
    <w:rsid w:val="00A20744"/>
    <w:rsid w:val="00A353EE"/>
    <w:rsid w:val="00A36F1D"/>
    <w:rsid w:val="00A44CB8"/>
    <w:rsid w:val="00A46F4E"/>
    <w:rsid w:val="00A4761C"/>
    <w:rsid w:val="00A5006F"/>
    <w:rsid w:val="00A62611"/>
    <w:rsid w:val="00A643FE"/>
    <w:rsid w:val="00A671B3"/>
    <w:rsid w:val="00A7501E"/>
    <w:rsid w:val="00A75CED"/>
    <w:rsid w:val="00A86F3E"/>
    <w:rsid w:val="00A91C82"/>
    <w:rsid w:val="00A93850"/>
    <w:rsid w:val="00A93C2A"/>
    <w:rsid w:val="00A942A7"/>
    <w:rsid w:val="00A94972"/>
    <w:rsid w:val="00A95ED7"/>
    <w:rsid w:val="00AA3BFE"/>
    <w:rsid w:val="00AA5630"/>
    <w:rsid w:val="00AA5722"/>
    <w:rsid w:val="00AA672B"/>
    <w:rsid w:val="00AB01F9"/>
    <w:rsid w:val="00AC32E2"/>
    <w:rsid w:val="00AC3642"/>
    <w:rsid w:val="00AC4F1D"/>
    <w:rsid w:val="00AC5396"/>
    <w:rsid w:val="00AC6380"/>
    <w:rsid w:val="00AD162C"/>
    <w:rsid w:val="00AD18F9"/>
    <w:rsid w:val="00AD217B"/>
    <w:rsid w:val="00AD37EC"/>
    <w:rsid w:val="00AE052A"/>
    <w:rsid w:val="00AE536D"/>
    <w:rsid w:val="00AE788C"/>
    <w:rsid w:val="00AF23E8"/>
    <w:rsid w:val="00AF2BB9"/>
    <w:rsid w:val="00AF3743"/>
    <w:rsid w:val="00AF4097"/>
    <w:rsid w:val="00AF6B8C"/>
    <w:rsid w:val="00B0017D"/>
    <w:rsid w:val="00B06B2F"/>
    <w:rsid w:val="00B16D29"/>
    <w:rsid w:val="00B344D6"/>
    <w:rsid w:val="00B3571F"/>
    <w:rsid w:val="00B37631"/>
    <w:rsid w:val="00B440B5"/>
    <w:rsid w:val="00B44B94"/>
    <w:rsid w:val="00B478B2"/>
    <w:rsid w:val="00B51743"/>
    <w:rsid w:val="00B5479F"/>
    <w:rsid w:val="00B54DB0"/>
    <w:rsid w:val="00B56866"/>
    <w:rsid w:val="00B614AA"/>
    <w:rsid w:val="00B64369"/>
    <w:rsid w:val="00B7490D"/>
    <w:rsid w:val="00B8208D"/>
    <w:rsid w:val="00B847EF"/>
    <w:rsid w:val="00B84A91"/>
    <w:rsid w:val="00B879F8"/>
    <w:rsid w:val="00B90309"/>
    <w:rsid w:val="00B909B1"/>
    <w:rsid w:val="00B9193F"/>
    <w:rsid w:val="00B9764D"/>
    <w:rsid w:val="00B97FB3"/>
    <w:rsid w:val="00BA1390"/>
    <w:rsid w:val="00BA2057"/>
    <w:rsid w:val="00BA703F"/>
    <w:rsid w:val="00BB3B42"/>
    <w:rsid w:val="00BB3F3B"/>
    <w:rsid w:val="00BB552C"/>
    <w:rsid w:val="00BB60D0"/>
    <w:rsid w:val="00BB69A8"/>
    <w:rsid w:val="00BC6E37"/>
    <w:rsid w:val="00BD3A94"/>
    <w:rsid w:val="00BD4812"/>
    <w:rsid w:val="00BD4D21"/>
    <w:rsid w:val="00BE2803"/>
    <w:rsid w:val="00BE29B6"/>
    <w:rsid w:val="00BE5C3E"/>
    <w:rsid w:val="00BE66D3"/>
    <w:rsid w:val="00BF07AD"/>
    <w:rsid w:val="00BF111C"/>
    <w:rsid w:val="00BF22EB"/>
    <w:rsid w:val="00C10768"/>
    <w:rsid w:val="00C11C58"/>
    <w:rsid w:val="00C1390B"/>
    <w:rsid w:val="00C2064F"/>
    <w:rsid w:val="00C22F25"/>
    <w:rsid w:val="00C239B4"/>
    <w:rsid w:val="00C261D7"/>
    <w:rsid w:val="00C27725"/>
    <w:rsid w:val="00C30875"/>
    <w:rsid w:val="00C31224"/>
    <w:rsid w:val="00C32AF4"/>
    <w:rsid w:val="00C339FB"/>
    <w:rsid w:val="00C40A2B"/>
    <w:rsid w:val="00C4151F"/>
    <w:rsid w:val="00C444A6"/>
    <w:rsid w:val="00C46784"/>
    <w:rsid w:val="00C46A69"/>
    <w:rsid w:val="00C46D4C"/>
    <w:rsid w:val="00C50F9A"/>
    <w:rsid w:val="00C637A4"/>
    <w:rsid w:val="00C66792"/>
    <w:rsid w:val="00C71477"/>
    <w:rsid w:val="00C74FBF"/>
    <w:rsid w:val="00C82752"/>
    <w:rsid w:val="00C851B7"/>
    <w:rsid w:val="00C873C3"/>
    <w:rsid w:val="00C90BCD"/>
    <w:rsid w:val="00C91087"/>
    <w:rsid w:val="00C959AF"/>
    <w:rsid w:val="00C96421"/>
    <w:rsid w:val="00C96B3E"/>
    <w:rsid w:val="00C96BA7"/>
    <w:rsid w:val="00CA0900"/>
    <w:rsid w:val="00CA177A"/>
    <w:rsid w:val="00CA1CE2"/>
    <w:rsid w:val="00CA3BB9"/>
    <w:rsid w:val="00CA754B"/>
    <w:rsid w:val="00CB0397"/>
    <w:rsid w:val="00CB3B1D"/>
    <w:rsid w:val="00CB3FF0"/>
    <w:rsid w:val="00CB5502"/>
    <w:rsid w:val="00CB6FB6"/>
    <w:rsid w:val="00CB7E2D"/>
    <w:rsid w:val="00CC0482"/>
    <w:rsid w:val="00CC1F7C"/>
    <w:rsid w:val="00CC52E0"/>
    <w:rsid w:val="00CC5579"/>
    <w:rsid w:val="00CC67C6"/>
    <w:rsid w:val="00CC6C57"/>
    <w:rsid w:val="00CD246A"/>
    <w:rsid w:val="00CD24F3"/>
    <w:rsid w:val="00CD5AF1"/>
    <w:rsid w:val="00CE036B"/>
    <w:rsid w:val="00CE1F5C"/>
    <w:rsid w:val="00CE5A87"/>
    <w:rsid w:val="00CE7E3E"/>
    <w:rsid w:val="00CF4128"/>
    <w:rsid w:val="00CF7E75"/>
    <w:rsid w:val="00D01A4A"/>
    <w:rsid w:val="00D06B4C"/>
    <w:rsid w:val="00D124EC"/>
    <w:rsid w:val="00D13834"/>
    <w:rsid w:val="00D15341"/>
    <w:rsid w:val="00D203AE"/>
    <w:rsid w:val="00D21A26"/>
    <w:rsid w:val="00D26FAA"/>
    <w:rsid w:val="00D27A46"/>
    <w:rsid w:val="00D30B0F"/>
    <w:rsid w:val="00D33BC5"/>
    <w:rsid w:val="00D33F5D"/>
    <w:rsid w:val="00D34EFE"/>
    <w:rsid w:val="00D35FDE"/>
    <w:rsid w:val="00D3735A"/>
    <w:rsid w:val="00D37B9C"/>
    <w:rsid w:val="00D44883"/>
    <w:rsid w:val="00D46748"/>
    <w:rsid w:val="00D52B8C"/>
    <w:rsid w:val="00D5683B"/>
    <w:rsid w:val="00D57251"/>
    <w:rsid w:val="00D57E8B"/>
    <w:rsid w:val="00D61F93"/>
    <w:rsid w:val="00D63945"/>
    <w:rsid w:val="00D6574C"/>
    <w:rsid w:val="00D65CB2"/>
    <w:rsid w:val="00D66EA5"/>
    <w:rsid w:val="00D67E5D"/>
    <w:rsid w:val="00D73A57"/>
    <w:rsid w:val="00D74C13"/>
    <w:rsid w:val="00D8267E"/>
    <w:rsid w:val="00D8306F"/>
    <w:rsid w:val="00D83DCA"/>
    <w:rsid w:val="00D859D2"/>
    <w:rsid w:val="00D87CF3"/>
    <w:rsid w:val="00D87D53"/>
    <w:rsid w:val="00D9058D"/>
    <w:rsid w:val="00D958C3"/>
    <w:rsid w:val="00D96A96"/>
    <w:rsid w:val="00D97146"/>
    <w:rsid w:val="00DA1158"/>
    <w:rsid w:val="00DA1805"/>
    <w:rsid w:val="00DA358D"/>
    <w:rsid w:val="00DA3F8F"/>
    <w:rsid w:val="00DA642B"/>
    <w:rsid w:val="00DA6A28"/>
    <w:rsid w:val="00DA6DA3"/>
    <w:rsid w:val="00DB4A8B"/>
    <w:rsid w:val="00DB5113"/>
    <w:rsid w:val="00DB746C"/>
    <w:rsid w:val="00DC45F0"/>
    <w:rsid w:val="00DC5744"/>
    <w:rsid w:val="00DC6010"/>
    <w:rsid w:val="00DC711C"/>
    <w:rsid w:val="00DC77A6"/>
    <w:rsid w:val="00DC787D"/>
    <w:rsid w:val="00DD13C6"/>
    <w:rsid w:val="00DD2A80"/>
    <w:rsid w:val="00DD39CF"/>
    <w:rsid w:val="00DD7427"/>
    <w:rsid w:val="00DD7D4A"/>
    <w:rsid w:val="00DE6A72"/>
    <w:rsid w:val="00DE73A3"/>
    <w:rsid w:val="00DF6F3F"/>
    <w:rsid w:val="00E053DD"/>
    <w:rsid w:val="00E05B03"/>
    <w:rsid w:val="00E11005"/>
    <w:rsid w:val="00E1459E"/>
    <w:rsid w:val="00E171FD"/>
    <w:rsid w:val="00E20447"/>
    <w:rsid w:val="00E206EF"/>
    <w:rsid w:val="00E27640"/>
    <w:rsid w:val="00E30155"/>
    <w:rsid w:val="00E371F6"/>
    <w:rsid w:val="00E37B87"/>
    <w:rsid w:val="00E40BB9"/>
    <w:rsid w:val="00E43058"/>
    <w:rsid w:val="00E43821"/>
    <w:rsid w:val="00E46020"/>
    <w:rsid w:val="00E5230B"/>
    <w:rsid w:val="00E62CA4"/>
    <w:rsid w:val="00E63C0D"/>
    <w:rsid w:val="00E64E16"/>
    <w:rsid w:val="00E671C6"/>
    <w:rsid w:val="00E765A3"/>
    <w:rsid w:val="00E77E5F"/>
    <w:rsid w:val="00E82393"/>
    <w:rsid w:val="00E83DF6"/>
    <w:rsid w:val="00E96323"/>
    <w:rsid w:val="00E96B69"/>
    <w:rsid w:val="00E96E16"/>
    <w:rsid w:val="00EA06CE"/>
    <w:rsid w:val="00EA17CF"/>
    <w:rsid w:val="00EB0204"/>
    <w:rsid w:val="00EB7E83"/>
    <w:rsid w:val="00EC08A6"/>
    <w:rsid w:val="00EC09F7"/>
    <w:rsid w:val="00EC1AAF"/>
    <w:rsid w:val="00EC237D"/>
    <w:rsid w:val="00EC4139"/>
    <w:rsid w:val="00ED167D"/>
    <w:rsid w:val="00ED1CBD"/>
    <w:rsid w:val="00ED1D08"/>
    <w:rsid w:val="00ED4701"/>
    <w:rsid w:val="00EE2350"/>
    <w:rsid w:val="00EE2F02"/>
    <w:rsid w:val="00EF3B3F"/>
    <w:rsid w:val="00EF58A6"/>
    <w:rsid w:val="00EF78AB"/>
    <w:rsid w:val="00EF7D4F"/>
    <w:rsid w:val="00F10125"/>
    <w:rsid w:val="00F14867"/>
    <w:rsid w:val="00F15704"/>
    <w:rsid w:val="00F158FC"/>
    <w:rsid w:val="00F15D46"/>
    <w:rsid w:val="00F17B67"/>
    <w:rsid w:val="00F21052"/>
    <w:rsid w:val="00F222D8"/>
    <w:rsid w:val="00F229DE"/>
    <w:rsid w:val="00F22FE9"/>
    <w:rsid w:val="00F24ECC"/>
    <w:rsid w:val="00F26A56"/>
    <w:rsid w:val="00F30E5E"/>
    <w:rsid w:val="00F34CFD"/>
    <w:rsid w:val="00F34E9B"/>
    <w:rsid w:val="00F436C6"/>
    <w:rsid w:val="00F46177"/>
    <w:rsid w:val="00F53B78"/>
    <w:rsid w:val="00F61B28"/>
    <w:rsid w:val="00F646C7"/>
    <w:rsid w:val="00F64CA4"/>
    <w:rsid w:val="00F678AC"/>
    <w:rsid w:val="00F70691"/>
    <w:rsid w:val="00F7147F"/>
    <w:rsid w:val="00F72532"/>
    <w:rsid w:val="00F77A8A"/>
    <w:rsid w:val="00F86443"/>
    <w:rsid w:val="00F86DE8"/>
    <w:rsid w:val="00F91FA4"/>
    <w:rsid w:val="00F94605"/>
    <w:rsid w:val="00F95DC0"/>
    <w:rsid w:val="00F973D1"/>
    <w:rsid w:val="00F97712"/>
    <w:rsid w:val="00FA391D"/>
    <w:rsid w:val="00FA4431"/>
    <w:rsid w:val="00FA4FCE"/>
    <w:rsid w:val="00FB0979"/>
    <w:rsid w:val="00FB0FAF"/>
    <w:rsid w:val="00FC2EBD"/>
    <w:rsid w:val="00FC350F"/>
    <w:rsid w:val="00FC40B6"/>
    <w:rsid w:val="00FC6B14"/>
    <w:rsid w:val="00FD522E"/>
    <w:rsid w:val="00FD5EEF"/>
    <w:rsid w:val="00FD6DBD"/>
    <w:rsid w:val="00FD779C"/>
    <w:rsid w:val="00FE0F42"/>
    <w:rsid w:val="00FE14C4"/>
    <w:rsid w:val="00FE37CF"/>
    <w:rsid w:val="00FE59E8"/>
    <w:rsid w:val="00FF5A41"/>
    <w:rsid w:val="00FF6D19"/>
    <w:rsid w:val="053F4242"/>
    <w:rsid w:val="06F7725F"/>
    <w:rsid w:val="08B20784"/>
    <w:rsid w:val="098061C9"/>
    <w:rsid w:val="0E052555"/>
    <w:rsid w:val="11720B4F"/>
    <w:rsid w:val="138932D7"/>
    <w:rsid w:val="1B23740A"/>
    <w:rsid w:val="1DC9422E"/>
    <w:rsid w:val="1E33176A"/>
    <w:rsid w:val="214E4079"/>
    <w:rsid w:val="247901D7"/>
    <w:rsid w:val="265F475C"/>
    <w:rsid w:val="27223499"/>
    <w:rsid w:val="2E84198B"/>
    <w:rsid w:val="32EB1C87"/>
    <w:rsid w:val="34A440DD"/>
    <w:rsid w:val="381D009D"/>
    <w:rsid w:val="38607FA1"/>
    <w:rsid w:val="41A71A72"/>
    <w:rsid w:val="42CA4145"/>
    <w:rsid w:val="493A229E"/>
    <w:rsid w:val="4B677C55"/>
    <w:rsid w:val="532E0534"/>
    <w:rsid w:val="548959B7"/>
    <w:rsid w:val="56105FA2"/>
    <w:rsid w:val="58E46168"/>
    <w:rsid w:val="5F0E63FC"/>
    <w:rsid w:val="64243E24"/>
    <w:rsid w:val="66981782"/>
    <w:rsid w:val="689C00AE"/>
    <w:rsid w:val="697B5128"/>
    <w:rsid w:val="6DCE5CF6"/>
    <w:rsid w:val="787F3F6E"/>
    <w:rsid w:val="7A2D0CD2"/>
    <w:rsid w:val="7B844E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9"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2"/>
    <w:qFormat/>
    <w:uiPriority w:val="0"/>
    <w:pPr>
      <w:keepNext/>
      <w:keepLines/>
      <w:outlineLvl w:val="0"/>
    </w:pPr>
    <w:rPr>
      <w:b/>
      <w:bCs/>
      <w:kern w:val="44"/>
      <w:sz w:val="28"/>
      <w:szCs w:val="44"/>
    </w:rPr>
  </w:style>
  <w:style w:type="paragraph" w:styleId="3">
    <w:name w:val="heading 2"/>
    <w:basedOn w:val="1"/>
    <w:next w:val="1"/>
    <w:link w:val="46"/>
    <w:qFormat/>
    <w:uiPriority w:val="0"/>
    <w:pPr>
      <w:keepNext/>
      <w:keepLines/>
      <w:outlineLvl w:val="1"/>
    </w:pPr>
    <w:rPr>
      <w:rFonts w:ascii="Calibri Light" w:hAnsi="Calibri Light"/>
      <w:b/>
      <w:bCs/>
      <w:sz w:val="28"/>
      <w:szCs w:val="32"/>
    </w:rPr>
  </w:style>
  <w:style w:type="paragraph" w:styleId="4">
    <w:name w:val="heading 3"/>
    <w:basedOn w:val="1"/>
    <w:next w:val="1"/>
    <w:link w:val="65"/>
    <w:qFormat/>
    <w:uiPriority w:val="0"/>
    <w:pPr>
      <w:keepNext/>
      <w:keepLines/>
      <w:outlineLvl w:val="2"/>
    </w:pPr>
    <w:rPr>
      <w:b/>
      <w:bCs/>
      <w:szCs w:val="32"/>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5">
    <w:name w:val="toc 7"/>
    <w:basedOn w:val="1"/>
    <w:next w:val="1"/>
    <w:uiPriority w:val="39"/>
    <w:pPr>
      <w:ind w:left="1260"/>
      <w:jc w:val="left"/>
    </w:pPr>
    <w:rPr>
      <w:rFonts w:ascii="Calibri" w:hAnsi="Calibri" w:cs="Calibri"/>
      <w:sz w:val="18"/>
      <w:szCs w:val="18"/>
    </w:rPr>
  </w:style>
  <w:style w:type="paragraph" w:styleId="6">
    <w:name w:val="index 8"/>
    <w:basedOn w:val="1"/>
    <w:next w:val="1"/>
    <w:uiPriority w:val="0"/>
    <w:pPr>
      <w:ind w:left="1400" w:leftChars="1400"/>
    </w:pPr>
  </w:style>
  <w:style w:type="paragraph" w:styleId="7">
    <w:name w:val="index 5"/>
    <w:basedOn w:val="1"/>
    <w:next w:val="1"/>
    <w:qFormat/>
    <w:uiPriority w:val="0"/>
    <w:pPr>
      <w:ind w:left="800" w:leftChars="800"/>
    </w:pPr>
  </w:style>
  <w:style w:type="paragraph" w:styleId="8">
    <w:name w:val="annotation text"/>
    <w:basedOn w:val="1"/>
    <w:link w:val="79"/>
    <w:uiPriority w:val="0"/>
    <w:pPr>
      <w:jc w:val="left"/>
    </w:pPr>
  </w:style>
  <w:style w:type="paragraph" w:styleId="9">
    <w:name w:val="index 6"/>
    <w:basedOn w:val="1"/>
    <w:next w:val="1"/>
    <w:uiPriority w:val="0"/>
    <w:pPr>
      <w:ind w:left="1000" w:leftChars="1000"/>
    </w:pPr>
  </w:style>
  <w:style w:type="paragraph" w:styleId="10">
    <w:name w:val="Body Text"/>
    <w:basedOn w:val="1"/>
    <w:link w:val="74"/>
    <w:uiPriority w:val="0"/>
    <w:pPr>
      <w:widowControl/>
      <w:jc w:val="left"/>
    </w:pPr>
    <w:rPr>
      <w:rFonts w:ascii="宋体" w:hAnsi="华文楷体"/>
      <w:color w:val="000000"/>
      <w:szCs w:val="28"/>
    </w:rPr>
  </w:style>
  <w:style w:type="paragraph" w:styleId="11">
    <w:name w:val="Body Text Indent"/>
    <w:basedOn w:val="1"/>
    <w:link w:val="71"/>
    <w:uiPriority w:val="0"/>
    <w:pPr>
      <w:spacing w:after="120"/>
      <w:ind w:left="420" w:leftChars="200"/>
    </w:pPr>
  </w:style>
  <w:style w:type="paragraph" w:styleId="12">
    <w:name w:val="index 4"/>
    <w:basedOn w:val="1"/>
    <w:next w:val="1"/>
    <w:uiPriority w:val="0"/>
    <w:pPr>
      <w:ind w:left="600" w:leftChars="600"/>
    </w:pPr>
  </w:style>
  <w:style w:type="paragraph" w:styleId="13">
    <w:name w:val="toc 5"/>
    <w:basedOn w:val="1"/>
    <w:next w:val="1"/>
    <w:uiPriority w:val="39"/>
    <w:pPr>
      <w:ind w:left="840"/>
      <w:jc w:val="left"/>
    </w:pPr>
    <w:rPr>
      <w:rFonts w:ascii="Calibri" w:hAnsi="Calibri" w:cs="Calibri"/>
      <w:sz w:val="18"/>
      <w:szCs w:val="18"/>
    </w:rPr>
  </w:style>
  <w:style w:type="paragraph" w:styleId="14">
    <w:name w:val="toc 3"/>
    <w:basedOn w:val="1"/>
    <w:next w:val="1"/>
    <w:qFormat/>
    <w:uiPriority w:val="39"/>
    <w:pPr>
      <w:ind w:left="420"/>
      <w:jc w:val="left"/>
    </w:pPr>
    <w:rPr>
      <w:rFonts w:ascii="Calibri" w:hAnsi="Calibri" w:cs="Calibri"/>
      <w:i/>
      <w:iCs/>
      <w:sz w:val="20"/>
      <w:szCs w:val="20"/>
    </w:rPr>
  </w:style>
  <w:style w:type="paragraph" w:styleId="15">
    <w:name w:val="Plain Text"/>
    <w:basedOn w:val="1"/>
    <w:link w:val="47"/>
    <w:uiPriority w:val="0"/>
    <w:rPr>
      <w:rFonts w:ascii="宋体" w:hAnsi="Courier New" w:cs="Courier New"/>
      <w:szCs w:val="21"/>
    </w:rPr>
  </w:style>
  <w:style w:type="paragraph" w:styleId="16">
    <w:name w:val="toc 8"/>
    <w:basedOn w:val="1"/>
    <w:next w:val="1"/>
    <w:uiPriority w:val="39"/>
    <w:pPr>
      <w:ind w:left="1470"/>
      <w:jc w:val="left"/>
    </w:pPr>
    <w:rPr>
      <w:rFonts w:ascii="Calibri" w:hAnsi="Calibri" w:cs="Calibri"/>
      <w:sz w:val="18"/>
      <w:szCs w:val="18"/>
    </w:rPr>
  </w:style>
  <w:style w:type="paragraph" w:styleId="17">
    <w:name w:val="index 3"/>
    <w:basedOn w:val="1"/>
    <w:next w:val="1"/>
    <w:uiPriority w:val="0"/>
    <w:pPr>
      <w:ind w:left="400" w:leftChars="400"/>
    </w:pPr>
  </w:style>
  <w:style w:type="paragraph" w:styleId="18">
    <w:name w:val="Balloon Text"/>
    <w:basedOn w:val="1"/>
    <w:link w:val="49"/>
    <w:uiPriority w:val="0"/>
    <w:rPr>
      <w:sz w:val="18"/>
      <w:szCs w:val="18"/>
    </w:rPr>
  </w:style>
  <w:style w:type="paragraph" w:styleId="19">
    <w:name w:val="footer"/>
    <w:basedOn w:val="1"/>
    <w:link w:val="64"/>
    <w:uiPriority w:val="99"/>
    <w:pPr>
      <w:tabs>
        <w:tab w:val="center" w:pos="4153"/>
        <w:tab w:val="right" w:pos="8306"/>
      </w:tabs>
      <w:snapToGrid w:val="0"/>
      <w:jc w:val="left"/>
    </w:pPr>
    <w:rPr>
      <w:sz w:val="18"/>
      <w:szCs w:val="18"/>
    </w:rPr>
  </w:style>
  <w:style w:type="paragraph" w:styleId="20">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Calibri" w:hAnsi="Calibri" w:cs="Calibri"/>
      <w:b/>
      <w:bCs/>
      <w:caps/>
      <w:sz w:val="20"/>
      <w:szCs w:val="20"/>
    </w:rPr>
  </w:style>
  <w:style w:type="paragraph" w:styleId="22">
    <w:name w:val="toc 4"/>
    <w:basedOn w:val="1"/>
    <w:next w:val="1"/>
    <w:qFormat/>
    <w:uiPriority w:val="39"/>
    <w:pPr>
      <w:ind w:left="630"/>
      <w:jc w:val="left"/>
    </w:pPr>
    <w:rPr>
      <w:rFonts w:ascii="Calibri" w:hAnsi="Calibri" w:cs="Calibri"/>
      <w:sz w:val="18"/>
      <w:szCs w:val="18"/>
    </w:rPr>
  </w:style>
  <w:style w:type="paragraph" w:styleId="23">
    <w:name w:val="index heading"/>
    <w:basedOn w:val="1"/>
    <w:next w:val="24"/>
    <w:qFormat/>
    <w:uiPriority w:val="0"/>
  </w:style>
  <w:style w:type="paragraph" w:styleId="24">
    <w:name w:val="index 1"/>
    <w:basedOn w:val="1"/>
    <w:next w:val="1"/>
    <w:uiPriority w:val="0"/>
  </w:style>
  <w:style w:type="paragraph" w:styleId="25">
    <w:name w:val="Subtitle"/>
    <w:basedOn w:val="1"/>
    <w:next w:val="1"/>
    <w:link w:val="174"/>
    <w:uiPriority w:val="0"/>
    <w:pPr>
      <w:spacing w:before="240" w:after="60" w:line="312" w:lineRule="auto"/>
      <w:jc w:val="center"/>
      <w:outlineLvl w:val="1"/>
    </w:pPr>
    <w:rPr>
      <w:rFonts w:asciiTheme="majorHAnsi" w:hAnsiTheme="majorHAnsi" w:cstheme="majorBidi"/>
      <w:b/>
      <w:bCs/>
      <w:kern w:val="28"/>
      <w:sz w:val="32"/>
      <w:szCs w:val="32"/>
    </w:rPr>
  </w:style>
  <w:style w:type="paragraph" w:styleId="26">
    <w:name w:val="toc 6"/>
    <w:basedOn w:val="1"/>
    <w:next w:val="1"/>
    <w:uiPriority w:val="39"/>
    <w:pPr>
      <w:ind w:left="1050"/>
      <w:jc w:val="left"/>
    </w:pPr>
    <w:rPr>
      <w:rFonts w:ascii="Calibri" w:hAnsi="Calibri" w:cs="Calibri"/>
      <w:sz w:val="18"/>
      <w:szCs w:val="18"/>
    </w:rPr>
  </w:style>
  <w:style w:type="paragraph" w:styleId="27">
    <w:name w:val="Body Text Indent 3"/>
    <w:basedOn w:val="1"/>
    <w:link w:val="78"/>
    <w:unhideWhenUsed/>
    <w:uiPriority w:val="99"/>
    <w:pPr>
      <w:spacing w:after="120"/>
      <w:ind w:left="420" w:leftChars="200"/>
    </w:pPr>
    <w:rPr>
      <w:sz w:val="16"/>
      <w:szCs w:val="16"/>
    </w:rPr>
  </w:style>
  <w:style w:type="paragraph" w:styleId="28">
    <w:name w:val="index 7"/>
    <w:basedOn w:val="1"/>
    <w:next w:val="1"/>
    <w:uiPriority w:val="0"/>
    <w:pPr>
      <w:ind w:left="1200" w:leftChars="1200"/>
    </w:pPr>
  </w:style>
  <w:style w:type="paragraph" w:styleId="29">
    <w:name w:val="index 9"/>
    <w:basedOn w:val="1"/>
    <w:next w:val="1"/>
    <w:uiPriority w:val="0"/>
    <w:pPr>
      <w:ind w:left="1600" w:leftChars="1600"/>
    </w:p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uiPriority w:val="39"/>
    <w:pPr>
      <w:ind w:left="1680"/>
      <w:jc w:val="left"/>
    </w:pPr>
    <w:rPr>
      <w:rFonts w:ascii="Calibri" w:hAnsi="Calibri" w:cs="Calibri"/>
      <w:sz w:val="18"/>
      <w:szCs w:val="18"/>
    </w:rPr>
  </w:style>
  <w:style w:type="paragraph" w:styleId="3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33">
    <w:name w:val="Normal (Web)"/>
    <w:basedOn w:val="1"/>
    <w:unhideWhenUsed/>
    <w:uiPriority w:val="99"/>
    <w:pPr>
      <w:widowControl/>
      <w:spacing w:before="100" w:beforeAutospacing="1" w:after="100" w:afterAutospacing="1"/>
      <w:jc w:val="left"/>
    </w:pPr>
    <w:rPr>
      <w:rFonts w:ascii="宋体" w:hAnsi="宋体" w:cs="宋体"/>
      <w:kern w:val="0"/>
    </w:rPr>
  </w:style>
  <w:style w:type="paragraph" w:styleId="34">
    <w:name w:val="index 2"/>
    <w:basedOn w:val="1"/>
    <w:next w:val="1"/>
    <w:uiPriority w:val="0"/>
    <w:pPr>
      <w:ind w:left="200" w:leftChars="200"/>
    </w:pPr>
  </w:style>
  <w:style w:type="paragraph" w:styleId="35">
    <w:name w:val="Title"/>
    <w:basedOn w:val="1"/>
    <w:next w:val="1"/>
    <w:link w:val="172"/>
    <w:uiPriority w:val="0"/>
    <w:pPr>
      <w:ind w:firstLine="0" w:firstLineChars="0"/>
      <w:jc w:val="left"/>
    </w:pPr>
    <w:rPr>
      <w:rFonts w:ascii="Calibri Light" w:hAnsi="Calibri Light"/>
      <w:bCs/>
      <w:kern w:val="0"/>
      <w:szCs w:val="32"/>
    </w:rPr>
  </w:style>
  <w:style w:type="paragraph" w:styleId="36">
    <w:name w:val="annotation subject"/>
    <w:basedOn w:val="8"/>
    <w:next w:val="8"/>
    <w:link w:val="73"/>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uiPriority w:val="0"/>
  </w:style>
  <w:style w:type="character" w:styleId="42">
    <w:name w:val="FollowedHyperlink"/>
    <w:basedOn w:val="39"/>
    <w:unhideWhenUsed/>
    <w:uiPriority w:val="99"/>
    <w:rPr>
      <w:color w:val="954F72"/>
      <w:u w:val="single"/>
    </w:rPr>
  </w:style>
  <w:style w:type="character" w:styleId="43">
    <w:name w:val="Emphasis"/>
    <w:qFormat/>
    <w:uiPriority w:val="0"/>
    <w:rPr>
      <w:rFonts w:ascii="Times New Roman" w:hAnsi="Times New Roman" w:eastAsia="宋体" w:cs="Times New Roman"/>
      <w:color w:val="CC0000"/>
    </w:rPr>
  </w:style>
  <w:style w:type="character" w:styleId="44">
    <w:name w:val="Hyperlink"/>
    <w:uiPriority w:val="99"/>
    <w:rPr>
      <w:color w:val="0000FF"/>
      <w:u w:val="single"/>
    </w:rPr>
  </w:style>
  <w:style w:type="character" w:styleId="45">
    <w:name w:val="annotation reference"/>
    <w:uiPriority w:val="0"/>
    <w:rPr>
      <w:sz w:val="21"/>
      <w:szCs w:val="21"/>
    </w:rPr>
  </w:style>
  <w:style w:type="character" w:customStyle="1" w:styleId="46">
    <w:name w:val="标题 2 Char"/>
    <w:link w:val="3"/>
    <w:uiPriority w:val="0"/>
    <w:rPr>
      <w:rFonts w:ascii="Calibri Light" w:hAnsi="Calibri Light"/>
      <w:b/>
      <w:bCs/>
      <w:kern w:val="2"/>
      <w:sz w:val="28"/>
      <w:szCs w:val="32"/>
    </w:rPr>
  </w:style>
  <w:style w:type="character" w:customStyle="1" w:styleId="47">
    <w:name w:val="纯文本 Char"/>
    <w:link w:val="15"/>
    <w:uiPriority w:val="0"/>
    <w:rPr>
      <w:rFonts w:ascii="宋体" w:hAnsi="Courier New" w:cs="Courier New"/>
      <w:kern w:val="2"/>
      <w:sz w:val="21"/>
      <w:szCs w:val="21"/>
    </w:rPr>
  </w:style>
  <w:style w:type="character" w:customStyle="1" w:styleId="48">
    <w:name w:val="批注主题 Char1"/>
    <w:semiHidden/>
    <w:uiPriority w:val="99"/>
    <w:rPr>
      <w:b/>
      <w:bCs/>
      <w:kern w:val="2"/>
      <w:sz w:val="21"/>
      <w:szCs w:val="24"/>
    </w:rPr>
  </w:style>
  <w:style w:type="character" w:customStyle="1" w:styleId="49">
    <w:name w:val="批注框文本 Char"/>
    <w:link w:val="18"/>
    <w:uiPriority w:val="0"/>
    <w:rPr>
      <w:kern w:val="2"/>
      <w:sz w:val="18"/>
      <w:szCs w:val="18"/>
    </w:rPr>
  </w:style>
  <w:style w:type="character" w:customStyle="1" w:styleId="50">
    <w:name w:val="文 Char Char"/>
    <w:link w:val="51"/>
    <w:uiPriority w:val="0"/>
    <w:rPr>
      <w:rFonts w:hAnsi="宋体"/>
      <w:kern w:val="2"/>
      <w:sz w:val="24"/>
      <w:szCs w:val="24"/>
    </w:rPr>
  </w:style>
  <w:style w:type="paragraph" w:customStyle="1" w:styleId="51">
    <w:name w:val="文"/>
    <w:basedOn w:val="1"/>
    <w:link w:val="50"/>
    <w:uiPriority w:val="0"/>
    <w:pPr>
      <w:spacing w:line="300" w:lineRule="auto"/>
      <w:ind w:firstLine="480"/>
    </w:pPr>
    <w:rPr>
      <w:rFonts w:hAnsi="宋体"/>
    </w:rPr>
  </w:style>
  <w:style w:type="character" w:customStyle="1" w:styleId="52">
    <w:name w:val="标题 1 Char"/>
    <w:link w:val="2"/>
    <w:uiPriority w:val="0"/>
    <w:rPr>
      <w:b/>
      <w:bCs/>
      <w:kern w:val="44"/>
      <w:sz w:val="28"/>
      <w:szCs w:val="44"/>
    </w:rPr>
  </w:style>
  <w:style w:type="character" w:customStyle="1" w:styleId="53">
    <w:name w:val="000 Char"/>
    <w:link w:val="54"/>
    <w:uiPriority w:val="0"/>
    <w:rPr>
      <w:kern w:val="2"/>
      <w:sz w:val="24"/>
      <w:szCs w:val="24"/>
    </w:rPr>
  </w:style>
  <w:style w:type="paragraph" w:customStyle="1" w:styleId="54">
    <w:name w:val="000"/>
    <w:basedOn w:val="1"/>
    <w:link w:val="53"/>
    <w:uiPriority w:val="0"/>
    <w:pPr>
      <w:ind w:firstLine="480"/>
      <w:jc w:val="left"/>
    </w:pPr>
  </w:style>
  <w:style w:type="character" w:customStyle="1" w:styleId="55">
    <w:name w:val="表 Char"/>
    <w:uiPriority w:val="0"/>
    <w:rPr>
      <w:rFonts w:ascii="宋体" w:hAnsi="宋体" w:eastAsia="宋体"/>
      <w:kern w:val="2"/>
      <w:sz w:val="21"/>
      <w:szCs w:val="21"/>
      <w:lang w:val="en-US" w:eastAsia="zh-CN" w:bidi="ar-SA"/>
    </w:rPr>
  </w:style>
  <w:style w:type="character" w:customStyle="1" w:styleId="56">
    <w:name w:val="样式3 Char"/>
    <w:uiPriority w:val="0"/>
    <w:rPr>
      <w:rFonts w:ascii="宋体" w:hAnsi="宋体" w:eastAsia="宋体"/>
      <w:kern w:val="2"/>
      <w:sz w:val="24"/>
      <w:szCs w:val="24"/>
      <w:lang w:val="en-US" w:eastAsia="zh-CN" w:bidi="ar-SA"/>
    </w:rPr>
  </w:style>
  <w:style w:type="character" w:customStyle="1" w:styleId="57">
    <w:name w:val="赵永光正文 Char"/>
    <w:link w:val="58"/>
    <w:uiPriority w:val="0"/>
    <w:rPr>
      <w:rFonts w:ascii="宋体" w:hAnsi="宋体"/>
      <w:kern w:val="2"/>
      <w:sz w:val="28"/>
      <w:szCs w:val="28"/>
    </w:rPr>
  </w:style>
  <w:style w:type="paragraph" w:customStyle="1" w:styleId="58">
    <w:name w:val="赵永光正文"/>
    <w:basedOn w:val="1"/>
    <w:next w:val="1"/>
    <w:link w:val="57"/>
    <w:uiPriority w:val="0"/>
    <w:pPr>
      <w:widowControl/>
      <w:spacing w:line="560" w:lineRule="exact"/>
      <w:ind w:firstLine="560"/>
    </w:pPr>
    <w:rPr>
      <w:rFonts w:ascii="宋体" w:hAnsi="宋体"/>
      <w:sz w:val="28"/>
      <w:szCs w:val="28"/>
    </w:rPr>
  </w:style>
  <w:style w:type="character" w:customStyle="1" w:styleId="59">
    <w:name w:val="表 Char Char"/>
    <w:link w:val="60"/>
    <w:uiPriority w:val="0"/>
    <w:rPr>
      <w:rFonts w:ascii="宋体" w:hAnsi="宋体"/>
      <w:kern w:val="2"/>
      <w:sz w:val="21"/>
      <w:szCs w:val="21"/>
    </w:rPr>
  </w:style>
  <w:style w:type="paragraph" w:customStyle="1" w:styleId="60">
    <w:name w:val="表"/>
    <w:basedOn w:val="1"/>
    <w:link w:val="59"/>
    <w:uiPriority w:val="0"/>
    <w:pPr>
      <w:spacing w:line="180" w:lineRule="atLeast"/>
      <w:jc w:val="left"/>
    </w:pPr>
    <w:rPr>
      <w:rFonts w:ascii="宋体" w:hAnsi="宋体"/>
      <w:szCs w:val="21"/>
    </w:rPr>
  </w:style>
  <w:style w:type="character" w:customStyle="1" w:styleId="61">
    <w:name w:val="我的正文格式"/>
    <w:uiPriority w:val="0"/>
    <w:rPr>
      <w:rFonts w:ascii="Times New Roman" w:hAnsi="Times New Roman" w:eastAsia="宋体"/>
      <w:sz w:val="24"/>
      <w:szCs w:val="24"/>
    </w:rPr>
  </w:style>
  <w:style w:type="character" w:customStyle="1" w:styleId="62">
    <w:name w:val="批注框文本 Char1"/>
    <w:semiHidden/>
    <w:uiPriority w:val="99"/>
    <w:rPr>
      <w:kern w:val="2"/>
      <w:sz w:val="18"/>
      <w:szCs w:val="18"/>
    </w:rPr>
  </w:style>
  <w:style w:type="character" w:customStyle="1" w:styleId="63">
    <w:name w:val="第n条 Char Char"/>
    <w:uiPriority w:val="0"/>
    <w:rPr>
      <w:rFonts w:eastAsia="黑体" w:cs="宋体"/>
      <w:bCs/>
      <w:kern w:val="2"/>
      <w:sz w:val="24"/>
      <w:lang w:val="en-US" w:eastAsia="zh-CN" w:bidi="ar-SA"/>
    </w:rPr>
  </w:style>
  <w:style w:type="character" w:customStyle="1" w:styleId="64">
    <w:name w:val="页脚 Char"/>
    <w:link w:val="19"/>
    <w:uiPriority w:val="99"/>
    <w:rPr>
      <w:kern w:val="2"/>
      <w:sz w:val="18"/>
      <w:szCs w:val="18"/>
    </w:rPr>
  </w:style>
  <w:style w:type="character" w:customStyle="1" w:styleId="65">
    <w:name w:val="标题 3 Char"/>
    <w:link w:val="4"/>
    <w:uiPriority w:val="0"/>
    <w:rPr>
      <w:b/>
      <w:bCs/>
      <w:kern w:val="2"/>
      <w:sz w:val="24"/>
      <w:szCs w:val="32"/>
    </w:rPr>
  </w:style>
  <w:style w:type="character" w:customStyle="1" w:styleId="66">
    <w:name w:val="样式3 Char Char"/>
    <w:link w:val="67"/>
    <w:uiPriority w:val="0"/>
    <w:rPr>
      <w:rFonts w:ascii="宋体" w:hAnsi="宋体"/>
      <w:b/>
      <w:kern w:val="2"/>
      <w:sz w:val="24"/>
      <w:szCs w:val="24"/>
    </w:rPr>
  </w:style>
  <w:style w:type="paragraph" w:customStyle="1" w:styleId="67">
    <w:name w:val="样式3"/>
    <w:basedOn w:val="1"/>
    <w:link w:val="66"/>
    <w:qFormat/>
    <w:uiPriority w:val="0"/>
    <w:pPr>
      <w:ind w:firstLine="482"/>
    </w:pPr>
    <w:rPr>
      <w:rFonts w:ascii="宋体" w:hAnsi="宋体"/>
      <w:b/>
    </w:rPr>
  </w:style>
  <w:style w:type="character" w:customStyle="1" w:styleId="68">
    <w:name w:val="页眉 Char"/>
    <w:link w:val="20"/>
    <w:uiPriority w:val="0"/>
    <w:rPr>
      <w:kern w:val="2"/>
      <w:sz w:val="18"/>
      <w:szCs w:val="18"/>
    </w:rPr>
  </w:style>
  <w:style w:type="character" w:customStyle="1" w:styleId="69">
    <w:name w:val="节 Char Char"/>
    <w:link w:val="70"/>
    <w:qFormat/>
    <w:uiPriority w:val="0"/>
    <w:rPr>
      <w:rFonts w:eastAsia="黑体"/>
      <w:kern w:val="2"/>
      <w:sz w:val="24"/>
    </w:rPr>
  </w:style>
  <w:style w:type="paragraph" w:customStyle="1" w:styleId="70">
    <w:name w:val="节"/>
    <w:basedOn w:val="1"/>
    <w:link w:val="69"/>
    <w:uiPriority w:val="0"/>
    <w:pPr>
      <w:tabs>
        <w:tab w:val="left" w:pos="540"/>
      </w:tabs>
      <w:adjustRightInd w:val="0"/>
      <w:snapToGrid w:val="0"/>
      <w:spacing w:line="300" w:lineRule="auto"/>
      <w:jc w:val="left"/>
    </w:pPr>
    <w:rPr>
      <w:rFonts w:eastAsia="黑体"/>
      <w:szCs w:val="20"/>
    </w:rPr>
  </w:style>
  <w:style w:type="character" w:customStyle="1" w:styleId="71">
    <w:name w:val="正文文本缩进 Char"/>
    <w:link w:val="11"/>
    <w:uiPriority w:val="0"/>
    <w:rPr>
      <w:kern w:val="2"/>
      <w:sz w:val="21"/>
      <w:szCs w:val="24"/>
    </w:rPr>
  </w:style>
  <w:style w:type="character" w:customStyle="1" w:styleId="72">
    <w:name w:val="文 Char"/>
    <w:qFormat/>
    <w:uiPriority w:val="0"/>
    <w:rPr>
      <w:rFonts w:hAnsi="宋体" w:eastAsia="宋体"/>
      <w:kern w:val="2"/>
      <w:sz w:val="24"/>
      <w:szCs w:val="24"/>
      <w:lang w:val="en-US" w:eastAsia="zh-CN" w:bidi="ar-SA"/>
    </w:rPr>
  </w:style>
  <w:style w:type="character" w:customStyle="1" w:styleId="73">
    <w:name w:val="批注主题 Char"/>
    <w:link w:val="36"/>
    <w:qFormat/>
    <w:uiPriority w:val="0"/>
    <w:rPr>
      <w:b/>
      <w:bCs/>
      <w:kern w:val="2"/>
      <w:sz w:val="21"/>
      <w:szCs w:val="24"/>
    </w:rPr>
  </w:style>
  <w:style w:type="character" w:customStyle="1" w:styleId="74">
    <w:name w:val="正文文本 Char"/>
    <w:link w:val="10"/>
    <w:uiPriority w:val="0"/>
    <w:rPr>
      <w:rFonts w:ascii="宋体" w:hAnsi="华文楷体"/>
      <w:color w:val="000000"/>
      <w:kern w:val="2"/>
      <w:sz w:val="24"/>
      <w:szCs w:val="28"/>
    </w:rPr>
  </w:style>
  <w:style w:type="character" w:customStyle="1" w:styleId="75">
    <w:name w:val="批注文字 Char1"/>
    <w:semiHidden/>
    <w:qFormat/>
    <w:uiPriority w:val="99"/>
    <w:rPr>
      <w:kern w:val="2"/>
      <w:sz w:val="21"/>
      <w:szCs w:val="24"/>
    </w:rPr>
  </w:style>
  <w:style w:type="character" w:customStyle="1" w:styleId="76">
    <w:name w:val="自定义正文 Char"/>
    <w:link w:val="77"/>
    <w:qFormat/>
    <w:uiPriority w:val="0"/>
    <w:rPr>
      <w:rFonts w:ascii="宋体" w:hAnsi="宋体"/>
      <w:kern w:val="2"/>
      <w:sz w:val="24"/>
      <w:szCs w:val="24"/>
    </w:rPr>
  </w:style>
  <w:style w:type="paragraph" w:customStyle="1" w:styleId="77">
    <w:name w:val="自定义正文"/>
    <w:basedOn w:val="1"/>
    <w:link w:val="76"/>
    <w:uiPriority w:val="0"/>
    <w:pPr>
      <w:ind w:firstLine="480"/>
    </w:pPr>
    <w:rPr>
      <w:rFonts w:ascii="宋体" w:hAnsi="宋体"/>
    </w:rPr>
  </w:style>
  <w:style w:type="character" w:customStyle="1" w:styleId="78">
    <w:name w:val="正文文本缩进 3 Char"/>
    <w:link w:val="27"/>
    <w:qFormat/>
    <w:uiPriority w:val="99"/>
    <w:rPr>
      <w:kern w:val="2"/>
      <w:sz w:val="16"/>
      <w:szCs w:val="16"/>
    </w:rPr>
  </w:style>
  <w:style w:type="character" w:customStyle="1" w:styleId="79">
    <w:name w:val="批注文字 Char"/>
    <w:link w:val="8"/>
    <w:qFormat/>
    <w:uiPriority w:val="0"/>
    <w:rPr>
      <w:kern w:val="2"/>
      <w:sz w:val="21"/>
      <w:szCs w:val="24"/>
    </w:rPr>
  </w:style>
  <w:style w:type="paragraph" w:customStyle="1" w:styleId="80">
    <w:name w:val="TOC Heading"/>
    <w:basedOn w:val="2"/>
    <w:next w:val="1"/>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customStyle="1" w:styleId="81">
    <w:name w:val="Revision"/>
    <w:uiPriority w:val="0"/>
    <w:rPr>
      <w:rFonts w:ascii="Times New Roman" w:hAnsi="Times New Roman" w:eastAsia="宋体" w:cs="Times New Roman"/>
      <w:kern w:val="2"/>
      <w:sz w:val="21"/>
      <w:szCs w:val="24"/>
      <w:lang w:val="en-US" w:eastAsia="zh-CN" w:bidi="ar-SA"/>
    </w:rPr>
  </w:style>
  <w:style w:type="paragraph" w:customStyle="1" w:styleId="82">
    <w:name w:val="样式 样式2 + 四号 字符缩放: 90%"/>
    <w:basedOn w:val="83"/>
    <w:uiPriority w:val="0"/>
    <w:pPr>
      <w:widowControl w:val="0"/>
      <w:autoSpaceDE w:val="0"/>
      <w:autoSpaceDN w:val="0"/>
      <w:adjustRightInd w:val="0"/>
      <w:spacing w:line="400" w:lineRule="exact"/>
      <w:jc w:val="both"/>
    </w:pPr>
    <w:rPr>
      <w:rFonts w:hAnsi="Times New Roman"/>
      <w:w w:val="90"/>
      <w:kern w:val="2"/>
      <w:lang w:val="zh-CN"/>
    </w:rPr>
  </w:style>
  <w:style w:type="paragraph" w:customStyle="1" w:styleId="83">
    <w:name w:val="样式2"/>
    <w:basedOn w:val="1"/>
    <w:uiPriority w:val="0"/>
    <w:pPr>
      <w:widowControl/>
      <w:jc w:val="left"/>
    </w:pPr>
    <w:rPr>
      <w:rFonts w:ascii="宋体" w:hAnsi="宋体" w:cs="宋体"/>
      <w:b/>
      <w:kern w:val="0"/>
      <w:sz w:val="28"/>
      <w:szCs w:val="28"/>
    </w:rPr>
  </w:style>
  <w:style w:type="paragraph" w:customStyle="1" w:styleId="84">
    <w:name w:val="自定义正文1"/>
    <w:basedOn w:val="1"/>
    <w:uiPriority w:val="0"/>
    <w:rPr>
      <w:rFonts w:ascii="宋体" w:hAnsi="宋体"/>
    </w:rPr>
  </w:style>
  <w:style w:type="paragraph" w:customStyle="1" w:styleId="85">
    <w:name w:val="加粗"/>
    <w:basedOn w:val="1"/>
    <w:uiPriority w:val="0"/>
    <w:pPr>
      <w:spacing w:before="156" w:beforeLines="50" w:after="156" w:afterLines="50"/>
    </w:pPr>
    <w:rPr>
      <w:rFonts w:ascii="黑体"/>
      <w:b/>
      <w:color w:val="000000"/>
    </w:rPr>
  </w:style>
  <w:style w:type="paragraph" w:customStyle="1" w:styleId="86">
    <w:name w:val="样式4"/>
    <w:basedOn w:val="1"/>
    <w:uiPriority w:val="0"/>
    <w:pPr>
      <w:ind w:firstLine="480"/>
    </w:pPr>
    <w:rPr>
      <w:rFonts w:ascii="宋体" w:hAnsi="宋体"/>
    </w:rPr>
  </w:style>
  <w:style w:type="paragraph" w:customStyle="1" w:styleId="87">
    <w:name w:val="第n条"/>
    <w:basedOn w:val="1"/>
    <w:uiPriority w:val="0"/>
    <w:pPr>
      <w:ind w:firstLine="482"/>
    </w:pPr>
    <w:rPr>
      <w:rFonts w:eastAsia="黑体" w:cs="宋体"/>
      <w:bCs/>
      <w:szCs w:val="20"/>
    </w:rPr>
  </w:style>
  <w:style w:type="paragraph" w:customStyle="1" w:styleId="88">
    <w:name w:val="样式5"/>
    <w:basedOn w:val="1"/>
    <w:uiPriority w:val="0"/>
    <w:pPr>
      <w:widowControl/>
      <w:ind w:firstLine="431"/>
      <w:jc w:val="left"/>
    </w:pPr>
    <w:rPr>
      <w:rFonts w:ascii="宋体" w:hAnsi="宋体" w:cs="宋体"/>
      <w:w w:val="90"/>
      <w:kern w:val="0"/>
    </w:rPr>
  </w:style>
  <w:style w:type="paragraph" w:customStyle="1" w:styleId="89">
    <w:name w:val="纯文本1"/>
    <w:basedOn w:val="1"/>
    <w:uiPriority w:val="0"/>
    <w:pPr>
      <w:adjustRightInd w:val="0"/>
    </w:pPr>
    <w:rPr>
      <w:rFonts w:hint="eastAsia" w:ascii="宋体" w:hAnsi="Courier New"/>
      <w:szCs w:val="20"/>
    </w:rPr>
  </w:style>
  <w:style w:type="paragraph" w:customStyle="1" w:styleId="90">
    <w:name w:val="加粗2"/>
    <w:basedOn w:val="1"/>
    <w:uiPriority w:val="0"/>
    <w:pPr>
      <w:widowControl/>
    </w:pPr>
    <w:rPr>
      <w:rFonts w:ascii="宋体" w:hAnsi="宋体"/>
      <w:b/>
      <w:bCs/>
      <w:color w:val="000000"/>
    </w:rPr>
  </w:style>
  <w:style w:type="paragraph" w:customStyle="1" w:styleId="91">
    <w:name w:val="样式6"/>
    <w:basedOn w:val="51"/>
    <w:uiPriority w:val="0"/>
    <w:pPr>
      <w:spacing w:line="360" w:lineRule="auto"/>
      <w:ind w:firstLine="470" w:firstLineChars="0"/>
    </w:pPr>
    <w:rPr>
      <w:rFonts w:ascii="宋体"/>
    </w:rPr>
  </w:style>
  <w:style w:type="paragraph" w:customStyle="1" w:styleId="92">
    <w:name w:val="1111"/>
    <w:basedOn w:val="1"/>
    <w:uiPriority w:val="0"/>
    <w:pPr>
      <w:widowControl/>
      <w:tabs>
        <w:tab w:val="left" w:pos="3420"/>
      </w:tabs>
      <w:spacing w:line="300" w:lineRule="auto"/>
      <w:ind w:firstLine="420"/>
      <w:jc w:val="left"/>
    </w:pPr>
    <w:rPr>
      <w:rFonts w:ascii="宋体" w:hAnsi="宋体"/>
      <w:kern w:val="0"/>
      <w:szCs w:val="20"/>
    </w:rPr>
  </w:style>
  <w:style w:type="paragraph" w:customStyle="1" w:styleId="93">
    <w:name w:val="自定义加粗"/>
    <w:basedOn w:val="1"/>
    <w:uiPriority w:val="0"/>
    <w:pPr>
      <w:jc w:val="left"/>
    </w:pPr>
    <w:rPr>
      <w:rFonts w:ascii="宋体" w:hAnsi="宋体"/>
      <w:b/>
    </w:rPr>
  </w:style>
  <w:style w:type="paragraph" w:customStyle="1" w:styleId="94">
    <w:name w:val="新正文"/>
    <w:basedOn w:val="1"/>
    <w:uiPriority w:val="0"/>
    <w:pPr>
      <w:tabs>
        <w:tab w:val="left" w:pos="0"/>
      </w:tabs>
      <w:autoSpaceDE w:val="0"/>
      <w:autoSpaceDN w:val="0"/>
      <w:adjustRightInd w:val="0"/>
      <w:spacing w:line="560" w:lineRule="exact"/>
      <w:ind w:firstLine="560"/>
      <w:jc w:val="left"/>
    </w:pPr>
    <w:rPr>
      <w:rFonts w:ascii="宋体" w:hAnsi="宋体" w:cs="宋体"/>
      <w:color w:val="000000"/>
      <w:kern w:val="0"/>
      <w:sz w:val="28"/>
      <w:szCs w:val="28"/>
      <w:lang w:val="zh-CN"/>
    </w:rPr>
  </w:style>
  <w:style w:type="paragraph" w:customStyle="1" w:styleId="95">
    <w:name w:val="p0"/>
    <w:basedOn w:val="1"/>
    <w:uiPriority w:val="0"/>
    <w:pPr>
      <w:widowControl/>
    </w:pPr>
    <w:rPr>
      <w:kern w:val="0"/>
      <w:szCs w:val="21"/>
    </w:rPr>
  </w:style>
  <w:style w:type="paragraph" w:customStyle="1" w:styleId="96">
    <w:name w:val="ts"/>
    <w:basedOn w:val="1"/>
    <w:uiPriority w:val="0"/>
    <w:pPr>
      <w:jc w:val="center"/>
    </w:pPr>
    <w:rPr>
      <w:rFonts w:ascii="黑体" w:eastAsia="黑体"/>
      <w:sz w:val="18"/>
      <w:szCs w:val="18"/>
    </w:rPr>
  </w:style>
  <w:style w:type="paragraph" w:customStyle="1" w:styleId="97">
    <w:name w:val="Char"/>
    <w:basedOn w:val="1"/>
    <w:uiPriority w:val="0"/>
    <w:pPr>
      <w:widowControl/>
      <w:spacing w:after="160" w:line="240" w:lineRule="exact"/>
      <w:jc w:val="left"/>
    </w:pPr>
  </w:style>
  <w:style w:type="paragraph" w:styleId="98">
    <w:name w:val="List Paragraph"/>
    <w:basedOn w:val="1"/>
    <w:qFormat/>
    <w:uiPriority w:val="34"/>
    <w:pPr>
      <w:ind w:firstLine="420"/>
    </w:pPr>
    <w:rPr>
      <w:rFonts w:ascii="Calibri" w:hAnsi="Calibri"/>
      <w:szCs w:val="22"/>
    </w:rPr>
  </w:style>
  <w:style w:type="paragraph" w:customStyle="1" w:styleId="99">
    <w:name w:val="自定义正文 Char Char"/>
    <w:basedOn w:val="1"/>
    <w:next w:val="1"/>
    <w:uiPriority w:val="0"/>
    <w:pPr>
      <w:widowControl/>
      <w:spacing w:line="560" w:lineRule="exact"/>
      <w:ind w:firstLine="560"/>
    </w:pPr>
  </w:style>
  <w:style w:type="paragraph" w:customStyle="1" w:styleId="100">
    <w:name w:val="reader-word-layer reader-word-s2-3"/>
    <w:basedOn w:val="1"/>
    <w:uiPriority w:val="0"/>
    <w:pPr>
      <w:widowControl/>
      <w:spacing w:before="100" w:beforeAutospacing="1" w:after="100" w:afterAutospacing="1"/>
      <w:jc w:val="left"/>
    </w:pPr>
    <w:rPr>
      <w:rFonts w:ascii="宋体" w:hAnsi="宋体" w:cs="宋体"/>
      <w:kern w:val="0"/>
    </w:rPr>
  </w:style>
  <w:style w:type="paragraph" w:customStyle="1" w:styleId="101">
    <w:name w:val="font5"/>
    <w:basedOn w:val="1"/>
    <w:uiPriority w:val="0"/>
    <w:pPr>
      <w:widowControl/>
      <w:spacing w:before="100" w:beforeAutospacing="1" w:after="100" w:afterAutospacing="1"/>
      <w:jc w:val="left"/>
    </w:pPr>
    <w:rPr>
      <w:rFonts w:ascii="宋体" w:hAnsi="宋体"/>
      <w:kern w:val="0"/>
      <w:sz w:val="18"/>
      <w:szCs w:val="18"/>
    </w:rPr>
  </w:style>
  <w:style w:type="paragraph" w:customStyle="1" w:styleId="102">
    <w:name w:val="font6"/>
    <w:basedOn w:val="1"/>
    <w:uiPriority w:val="0"/>
    <w:pPr>
      <w:widowControl/>
      <w:spacing w:before="100" w:beforeAutospacing="1" w:after="100" w:afterAutospacing="1"/>
      <w:jc w:val="left"/>
    </w:pPr>
    <w:rPr>
      <w:rFonts w:ascii="宋体" w:hAnsi="宋体"/>
      <w:kern w:val="0"/>
      <w:sz w:val="20"/>
      <w:szCs w:val="20"/>
    </w:rPr>
  </w:style>
  <w:style w:type="paragraph" w:customStyle="1" w:styleId="103">
    <w:name w:val="font7"/>
    <w:basedOn w:val="1"/>
    <w:uiPriority w:val="0"/>
    <w:pPr>
      <w:widowControl/>
      <w:spacing w:before="100" w:beforeAutospacing="1" w:after="100" w:afterAutospacing="1"/>
      <w:jc w:val="left"/>
    </w:pPr>
    <w:rPr>
      <w:rFonts w:ascii="宋体" w:hAnsi="宋体"/>
      <w:kern w:val="0"/>
      <w:sz w:val="18"/>
      <w:szCs w:val="18"/>
    </w:rPr>
  </w:style>
  <w:style w:type="paragraph" w:customStyle="1" w:styleId="104">
    <w:name w:val="font8"/>
    <w:basedOn w:val="1"/>
    <w:uiPriority w:val="0"/>
    <w:pPr>
      <w:widowControl/>
      <w:spacing w:before="100" w:beforeAutospacing="1" w:after="100" w:afterAutospacing="1"/>
      <w:jc w:val="left"/>
    </w:pPr>
    <w:rPr>
      <w:rFonts w:ascii="宋体" w:hAnsi="宋体"/>
      <w:color w:val="000000"/>
      <w:kern w:val="0"/>
      <w:sz w:val="20"/>
      <w:szCs w:val="20"/>
    </w:rPr>
  </w:style>
  <w:style w:type="paragraph" w:customStyle="1" w:styleId="10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urier" w:hAnsi="Courier"/>
      <w:kern w:val="0"/>
      <w:sz w:val="20"/>
      <w:szCs w:val="20"/>
    </w:rPr>
  </w:style>
  <w:style w:type="paragraph" w:customStyle="1" w:styleId="106">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w:hAnsi="Times"/>
      <w:kern w:val="0"/>
      <w:sz w:val="20"/>
      <w:szCs w:val="20"/>
    </w:rPr>
  </w:style>
  <w:style w:type="paragraph" w:customStyle="1" w:styleId="107">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w:hAnsi="Times"/>
      <w:kern w:val="0"/>
      <w:sz w:val="20"/>
      <w:szCs w:val="20"/>
    </w:rPr>
  </w:style>
  <w:style w:type="paragraph" w:customStyle="1" w:styleId="108">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w:hAnsi="Times"/>
      <w:kern w:val="0"/>
      <w:sz w:val="20"/>
      <w:szCs w:val="20"/>
    </w:rPr>
  </w:style>
  <w:style w:type="paragraph" w:customStyle="1" w:styleId="109">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w:hAnsi="Times"/>
      <w:kern w:val="0"/>
      <w:sz w:val="20"/>
      <w:szCs w:val="20"/>
    </w:rPr>
  </w:style>
  <w:style w:type="paragraph" w:customStyle="1" w:styleId="110">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11">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w:hAnsi="Times"/>
      <w:kern w:val="0"/>
      <w:sz w:val="20"/>
      <w:szCs w:val="20"/>
    </w:rPr>
  </w:style>
  <w:style w:type="paragraph" w:customStyle="1" w:styleId="112">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w:hAnsi="Times"/>
      <w:kern w:val="0"/>
      <w:sz w:val="20"/>
      <w:szCs w:val="20"/>
    </w:rPr>
  </w:style>
  <w:style w:type="paragraph" w:customStyle="1" w:styleId="113">
    <w:name w:val="xl7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Times" w:hAnsi="Times"/>
      <w:kern w:val="0"/>
      <w:sz w:val="20"/>
      <w:szCs w:val="20"/>
    </w:rPr>
  </w:style>
  <w:style w:type="paragraph" w:customStyle="1" w:styleId="114">
    <w:name w:val="xl7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w:hAnsi="Times"/>
      <w:kern w:val="0"/>
      <w:sz w:val="20"/>
      <w:szCs w:val="20"/>
    </w:rPr>
  </w:style>
  <w:style w:type="paragraph" w:customStyle="1" w:styleId="115">
    <w:name w:val="xl7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w:hAnsi="Times"/>
      <w:kern w:val="0"/>
      <w:sz w:val="20"/>
      <w:szCs w:val="20"/>
    </w:rPr>
  </w:style>
  <w:style w:type="paragraph" w:customStyle="1" w:styleId="116">
    <w:name w:val="xl74"/>
    <w:basedOn w:val="1"/>
    <w:uiPriority w:val="0"/>
    <w:pPr>
      <w:widowControl/>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17">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18">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19">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120">
    <w:name w:val="xl7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w:hAnsi="Times"/>
      <w:color w:val="000000"/>
      <w:kern w:val="0"/>
      <w:sz w:val="20"/>
      <w:szCs w:val="20"/>
    </w:rPr>
  </w:style>
  <w:style w:type="paragraph" w:customStyle="1" w:styleId="121">
    <w:name w:val="xl7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color w:val="000000"/>
      <w:kern w:val="0"/>
      <w:sz w:val="20"/>
      <w:szCs w:val="20"/>
    </w:rPr>
  </w:style>
  <w:style w:type="paragraph" w:customStyle="1" w:styleId="122">
    <w:name w:val="xl8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新宋体" w:hAnsi="Times" w:eastAsia="新宋体"/>
      <w:color w:val="000000"/>
      <w:kern w:val="0"/>
      <w:sz w:val="20"/>
      <w:szCs w:val="20"/>
    </w:rPr>
  </w:style>
  <w:style w:type="paragraph" w:customStyle="1" w:styleId="123">
    <w:name w:val="xl8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w:hAnsi="Times"/>
      <w:color w:val="000000"/>
      <w:kern w:val="0"/>
      <w:sz w:val="22"/>
      <w:szCs w:val="22"/>
    </w:rPr>
  </w:style>
  <w:style w:type="paragraph" w:customStyle="1" w:styleId="124">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w:hAnsi="Times"/>
      <w:color w:val="000000"/>
      <w:kern w:val="0"/>
      <w:sz w:val="20"/>
      <w:szCs w:val="20"/>
    </w:rPr>
  </w:style>
  <w:style w:type="paragraph" w:customStyle="1" w:styleId="125">
    <w:name w:val="xl83"/>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w:hAnsi="Times"/>
      <w:color w:val="000000"/>
      <w:kern w:val="0"/>
      <w:sz w:val="20"/>
      <w:szCs w:val="20"/>
    </w:rPr>
  </w:style>
  <w:style w:type="paragraph" w:customStyle="1" w:styleId="126">
    <w:name w:val="xl8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w:hAnsi="Times"/>
      <w:color w:val="000000"/>
      <w:kern w:val="0"/>
      <w:sz w:val="20"/>
      <w:szCs w:val="20"/>
    </w:rPr>
  </w:style>
  <w:style w:type="paragraph" w:customStyle="1" w:styleId="127">
    <w:name w:val="xl85"/>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w:hAnsi="Times"/>
      <w:color w:val="000000"/>
      <w:kern w:val="0"/>
      <w:sz w:val="20"/>
      <w:szCs w:val="20"/>
    </w:rPr>
  </w:style>
  <w:style w:type="paragraph" w:customStyle="1" w:styleId="128">
    <w:name w:val="xl8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w:hAnsi="Times"/>
      <w:color w:val="000000"/>
      <w:kern w:val="0"/>
      <w:sz w:val="20"/>
      <w:szCs w:val="20"/>
    </w:rPr>
  </w:style>
  <w:style w:type="paragraph" w:customStyle="1" w:styleId="129">
    <w:name w:val="xl8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color w:val="FF0000"/>
      <w:kern w:val="0"/>
      <w:sz w:val="20"/>
      <w:szCs w:val="20"/>
    </w:rPr>
  </w:style>
  <w:style w:type="paragraph" w:customStyle="1" w:styleId="130">
    <w:name w:val="xl8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w:hAnsi="Times"/>
      <w:color w:val="000000"/>
      <w:kern w:val="0"/>
      <w:sz w:val="20"/>
      <w:szCs w:val="20"/>
    </w:rPr>
  </w:style>
  <w:style w:type="paragraph" w:customStyle="1" w:styleId="131">
    <w:name w:val="xl8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w:hAnsi="Times"/>
      <w:color w:val="000000"/>
      <w:kern w:val="0"/>
      <w:sz w:val="20"/>
      <w:szCs w:val="20"/>
    </w:rPr>
  </w:style>
  <w:style w:type="paragraph" w:customStyle="1" w:styleId="132">
    <w:name w:val="xl90"/>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Times" w:hAnsi="Times"/>
      <w:color w:val="000000"/>
      <w:kern w:val="0"/>
      <w:sz w:val="20"/>
      <w:szCs w:val="20"/>
    </w:rPr>
  </w:style>
  <w:style w:type="paragraph" w:customStyle="1" w:styleId="133">
    <w:name w:val="xl9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000000"/>
      <w:kern w:val="0"/>
      <w:sz w:val="20"/>
      <w:szCs w:val="20"/>
    </w:rPr>
  </w:style>
  <w:style w:type="paragraph" w:customStyle="1" w:styleId="134">
    <w:name w:val="xl9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w:hAnsi="Times"/>
      <w:color w:val="000000"/>
      <w:kern w:val="0"/>
      <w:sz w:val="20"/>
      <w:szCs w:val="20"/>
    </w:rPr>
  </w:style>
  <w:style w:type="paragraph" w:customStyle="1" w:styleId="135">
    <w:name w:val="xl93"/>
    <w:basedOn w:val="1"/>
    <w:uiPriority w:val="0"/>
    <w:pPr>
      <w:widowControl/>
      <w:spacing w:before="100" w:beforeAutospacing="1" w:after="100" w:afterAutospacing="1"/>
      <w:jc w:val="center"/>
      <w:textAlignment w:val="center"/>
    </w:pPr>
    <w:rPr>
      <w:color w:val="000000"/>
      <w:kern w:val="0"/>
      <w:sz w:val="20"/>
      <w:szCs w:val="20"/>
    </w:rPr>
  </w:style>
  <w:style w:type="paragraph" w:customStyle="1" w:styleId="136">
    <w:name w:val="xl94"/>
    <w:basedOn w:val="1"/>
    <w:qFormat/>
    <w:uiPriority w:val="0"/>
    <w:pPr>
      <w:widowControl/>
      <w:spacing w:before="100" w:beforeAutospacing="1" w:after="100" w:afterAutospacing="1"/>
      <w:jc w:val="center"/>
    </w:pPr>
    <w:rPr>
      <w:rFonts w:ascii="Times" w:hAnsi="Times"/>
      <w:color w:val="000000"/>
      <w:kern w:val="0"/>
      <w:sz w:val="20"/>
      <w:szCs w:val="20"/>
    </w:rPr>
  </w:style>
  <w:style w:type="paragraph" w:customStyle="1" w:styleId="137">
    <w:name w:val="xl95"/>
    <w:basedOn w:val="1"/>
    <w:uiPriority w:val="0"/>
    <w:pPr>
      <w:widowControl/>
      <w:spacing w:before="100" w:beforeAutospacing="1" w:after="100" w:afterAutospacing="1"/>
      <w:jc w:val="center"/>
      <w:textAlignment w:val="center"/>
    </w:pPr>
    <w:rPr>
      <w:rFonts w:ascii="Times" w:hAnsi="Times"/>
      <w:color w:val="FF0000"/>
      <w:kern w:val="0"/>
      <w:sz w:val="20"/>
      <w:szCs w:val="20"/>
    </w:rPr>
  </w:style>
  <w:style w:type="paragraph" w:customStyle="1" w:styleId="138">
    <w:name w:val="xl96"/>
    <w:basedOn w:val="1"/>
    <w:uiPriority w:val="0"/>
    <w:pPr>
      <w:widowControl/>
      <w:spacing w:before="100" w:beforeAutospacing="1" w:after="100" w:afterAutospacing="1"/>
      <w:jc w:val="left"/>
      <w:textAlignment w:val="center"/>
    </w:pPr>
    <w:rPr>
      <w:rFonts w:ascii="Times" w:hAnsi="Times"/>
      <w:color w:val="000000"/>
      <w:kern w:val="0"/>
      <w:sz w:val="20"/>
      <w:szCs w:val="20"/>
    </w:rPr>
  </w:style>
  <w:style w:type="paragraph" w:customStyle="1" w:styleId="139">
    <w:name w:val="xl97"/>
    <w:basedOn w:val="1"/>
    <w:uiPriority w:val="0"/>
    <w:pPr>
      <w:widowControl/>
      <w:spacing w:before="100" w:beforeAutospacing="1" w:after="100" w:afterAutospacing="1"/>
      <w:jc w:val="left"/>
      <w:textAlignment w:val="center"/>
    </w:pPr>
    <w:rPr>
      <w:rFonts w:ascii="仿宋" w:hAnsi="Times" w:eastAsia="仿宋"/>
      <w:color w:val="000000"/>
      <w:kern w:val="0"/>
      <w:sz w:val="20"/>
      <w:szCs w:val="20"/>
    </w:rPr>
  </w:style>
  <w:style w:type="paragraph" w:customStyle="1" w:styleId="140">
    <w:name w:val="xl98"/>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Times" w:hAnsi="Times"/>
      <w:kern w:val="0"/>
      <w:sz w:val="20"/>
      <w:szCs w:val="20"/>
    </w:rPr>
  </w:style>
  <w:style w:type="paragraph" w:customStyle="1" w:styleId="141">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urier" w:hAnsi="Courier"/>
      <w:kern w:val="0"/>
      <w:sz w:val="20"/>
      <w:szCs w:val="20"/>
    </w:rPr>
  </w:style>
  <w:style w:type="paragraph" w:customStyle="1" w:styleId="142">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14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color w:val="DD0806"/>
      <w:kern w:val="0"/>
      <w:sz w:val="20"/>
      <w:szCs w:val="20"/>
    </w:rPr>
  </w:style>
  <w:style w:type="paragraph" w:customStyle="1" w:styleId="144">
    <w:name w:val="xl10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145">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Times" w:eastAsia="新宋体"/>
      <w:kern w:val="0"/>
      <w:sz w:val="20"/>
      <w:szCs w:val="20"/>
    </w:rPr>
  </w:style>
  <w:style w:type="paragraph" w:customStyle="1" w:styleId="14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Times" w:eastAsia="新宋体"/>
      <w:kern w:val="0"/>
      <w:sz w:val="20"/>
      <w:szCs w:val="20"/>
    </w:rPr>
  </w:style>
  <w:style w:type="paragraph" w:customStyle="1" w:styleId="14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w:hAnsi="Times"/>
      <w:kern w:val="0"/>
      <w:sz w:val="20"/>
      <w:szCs w:val="20"/>
    </w:rPr>
  </w:style>
  <w:style w:type="paragraph" w:customStyle="1" w:styleId="148">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14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w:hAnsi="Times"/>
      <w:kern w:val="0"/>
      <w:sz w:val="20"/>
      <w:szCs w:val="20"/>
    </w:rPr>
  </w:style>
  <w:style w:type="paragraph" w:customStyle="1" w:styleId="150">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urier" w:hAnsi="Courier"/>
      <w:kern w:val="0"/>
      <w:sz w:val="20"/>
      <w:szCs w:val="20"/>
    </w:rPr>
  </w:style>
  <w:style w:type="paragraph" w:customStyle="1" w:styleId="151">
    <w:name w:val="xl11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ourier" w:hAnsi="Courier"/>
      <w:kern w:val="0"/>
      <w:sz w:val="20"/>
      <w:szCs w:val="20"/>
    </w:rPr>
  </w:style>
  <w:style w:type="paragraph" w:customStyle="1" w:styleId="152">
    <w:name w:val="xl11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Courier" w:hAnsi="Courier"/>
      <w:kern w:val="0"/>
      <w:sz w:val="20"/>
      <w:szCs w:val="20"/>
    </w:rPr>
  </w:style>
  <w:style w:type="paragraph" w:customStyle="1" w:styleId="153">
    <w:name w:val="xl11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54">
    <w:name w:val="xl113"/>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55">
    <w:name w:val="xl11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56">
    <w:name w:val="xl115"/>
    <w:basedOn w:val="1"/>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57">
    <w:name w:val="xl11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ourier" w:hAnsi="Courier"/>
      <w:kern w:val="0"/>
      <w:sz w:val="20"/>
      <w:szCs w:val="20"/>
    </w:rPr>
  </w:style>
  <w:style w:type="paragraph" w:customStyle="1" w:styleId="15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Times" w:eastAsia="仿宋_GB2312"/>
      <w:kern w:val="0"/>
      <w:sz w:val="22"/>
      <w:szCs w:val="22"/>
    </w:rPr>
  </w:style>
  <w:style w:type="paragraph" w:customStyle="1" w:styleId="159">
    <w:name w:val="xl118"/>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160">
    <w:name w:val="xl11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161">
    <w:name w:val="xl120"/>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162">
    <w:name w:val="xl12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63">
    <w:name w:val="xl122"/>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64">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6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Times" w:eastAsia="仿宋_GB2312"/>
      <w:kern w:val="0"/>
      <w:sz w:val="20"/>
      <w:szCs w:val="20"/>
    </w:rPr>
  </w:style>
  <w:style w:type="paragraph" w:customStyle="1" w:styleId="166">
    <w:name w:val="xl125"/>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67">
    <w:name w:val="xl126"/>
    <w:basedOn w:val="1"/>
    <w:uiPriority w:val="0"/>
    <w:pPr>
      <w:widowControl/>
      <w:pBdr>
        <w:bottom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68">
    <w:name w:val="xl12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69">
    <w:name w:val="xl12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70">
    <w:name w:val="xl129"/>
    <w:basedOn w:val="1"/>
    <w:uiPriority w:val="0"/>
    <w:pPr>
      <w:widowControl/>
      <w:pBdr>
        <w:left w:val="single" w:color="auto" w:sz="4" w:space="0"/>
      </w:pBdr>
      <w:spacing w:before="100" w:beforeAutospacing="1" w:after="100" w:afterAutospacing="1"/>
      <w:jc w:val="center"/>
      <w:textAlignment w:val="center"/>
    </w:pPr>
    <w:rPr>
      <w:rFonts w:ascii="仿宋_GB2312" w:hAnsi="Times" w:eastAsia="仿宋_GB2312"/>
      <w:kern w:val="0"/>
      <w:sz w:val="20"/>
      <w:szCs w:val="20"/>
    </w:rPr>
  </w:style>
  <w:style w:type="paragraph" w:customStyle="1" w:styleId="171">
    <w:name w:val="xl13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character" w:customStyle="1" w:styleId="172">
    <w:name w:val="标题 Char"/>
    <w:link w:val="35"/>
    <w:uiPriority w:val="0"/>
    <w:rPr>
      <w:rFonts w:ascii="Calibri Light" w:hAnsi="Calibri Light"/>
      <w:bCs/>
      <w:sz w:val="24"/>
      <w:szCs w:val="32"/>
    </w:rPr>
  </w:style>
  <w:style w:type="character" w:customStyle="1" w:styleId="173">
    <w:name w:val="标题 字符"/>
    <w:basedOn w:val="39"/>
    <w:uiPriority w:val="0"/>
    <w:rPr>
      <w:rFonts w:asciiTheme="majorHAnsi" w:hAnsiTheme="majorHAnsi" w:eastAsiaTheme="majorEastAsia" w:cstheme="majorBidi"/>
      <w:b/>
      <w:bCs/>
      <w:kern w:val="2"/>
      <w:sz w:val="32"/>
      <w:szCs w:val="32"/>
    </w:rPr>
  </w:style>
  <w:style w:type="character" w:customStyle="1" w:styleId="174">
    <w:name w:val="副标题 Char"/>
    <w:basedOn w:val="39"/>
    <w:link w:val="25"/>
    <w:uiPriority w:val="0"/>
    <w:rPr>
      <w:rFonts w:asciiTheme="majorHAnsi" w:hAnsiTheme="majorHAnsi" w:cstheme="majorBidi"/>
      <w:b/>
      <w:bCs/>
      <w:kern w:val="28"/>
      <w:sz w:val="32"/>
      <w:szCs w:val="32"/>
    </w:rPr>
  </w:style>
  <w:style w:type="paragraph" w:customStyle="1" w:styleId="175">
    <w:name w:val="表格1"/>
    <w:basedOn w:val="1"/>
    <w:next w:val="1"/>
    <w:link w:val="176"/>
    <w:qFormat/>
    <w:uiPriority w:val="0"/>
    <w:pPr>
      <w:framePr w:hSpace="180" w:wrap="around" w:vAnchor="text" w:hAnchor="page" w:xAlign="center" w:y="294"/>
      <w:suppressOverlap/>
      <w:ind w:firstLine="0" w:firstLineChars="0"/>
      <w:jc w:val="center"/>
    </w:pPr>
  </w:style>
  <w:style w:type="character" w:customStyle="1" w:styleId="176">
    <w:name w:val="表格1 字符"/>
    <w:basedOn w:val="39"/>
    <w:link w:val="175"/>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4AAAD-3883-490F-8A87-4B26F00D05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17628</Words>
  <Characters>18249</Characters>
  <Lines>152</Lines>
  <Paragraphs>43</Paragraphs>
  <TotalTime>423</TotalTime>
  <ScaleCrop>false</ScaleCrop>
  <LinksUpToDate>false</LinksUpToDate>
  <CharactersWithSpaces>18423</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2021-09-08T16:26:00Z</dcterms:created>
  <dc:creator>Apple apple</dc:creator>
  <cp:lastModifiedBy>Administrator</cp:lastModifiedBy>
  <cp:lastPrinted>2021-09-08T16:54:00Z</cp:lastPrinted>
  <dcterms:modified xsi:type="dcterms:W3CDTF">2022-08-02T08:48:29Z</dcterms:modified>
  <dc:title>天津生物工程职业技术学院</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9CE48800009841DEA89516967238E560</vt:lpwstr>
  </property>
</Properties>
</file>